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Times New Roman"/>
          <w:kern w:val="0"/>
          <w:sz w:val="32"/>
          <w:szCs w:val="32"/>
        </w:rPr>
        <w:t>（式样八）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建设工程竣工验收消防备案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材料补正通知书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X建消竣备补字〔   〕第    号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经审查，备案材料不符合规定，需要补正上列第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项材料，请在五个工作日内补正并备案，逾期不备案的，我部门将依法处罚并确定该工程为检查对象；如已投入使用，你单位应当将工程停止使用。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B9"/>
    <w:rsid w:val="004149A8"/>
    <w:rsid w:val="007613F4"/>
    <w:rsid w:val="007F6FB9"/>
    <w:rsid w:val="00C10E59"/>
    <w:rsid w:val="42E5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2019-06-28T15:48:00Z</dcterms:created>
  <dc:creator>271581644@qq.com</dc:creator>
  <cp:lastModifiedBy>   ℡xzh</cp:lastModifiedBy>
  <dcterms:modified xsi:type="dcterms:W3CDTF">2020-03-30T02:03:40Z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