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8"/>
          <w:szCs w:val="48"/>
          <w:u w:val="single"/>
          <w:lang w:eastAsia="zh-CN"/>
        </w:rPr>
      </w:pPr>
    </w:p>
    <w:p>
      <w:pPr>
        <w:rPr>
          <w:rFonts w:hint="eastAsia"/>
          <w:sz w:val="48"/>
          <w:szCs w:val="48"/>
          <w:u w:val="single"/>
          <w:lang w:eastAsia="zh-CN"/>
        </w:rPr>
      </w:pPr>
    </w:p>
    <w:p>
      <w:pPr>
        <w:rPr>
          <w:rFonts w:hint="eastAsia" w:asciiTheme="minorEastAsia" w:hAnsiTheme="minorEastAsia" w:cstheme="minorEastAsia"/>
          <w:color w:val="FF0000"/>
          <w:sz w:val="48"/>
          <w:szCs w:val="48"/>
          <w:lang w:eastAsia="zh-CN"/>
        </w:rPr>
      </w:pPr>
      <w:r>
        <w:rPr>
          <w:rFonts w:hint="eastAsia" w:eastAsiaTheme="minorEastAsia"/>
          <w:color w:val="FF0000"/>
          <w:sz w:val="48"/>
          <w:szCs w:val="48"/>
          <w:u w:val="single"/>
          <w:lang w:eastAsia="zh-CN"/>
        </w:rPr>
        <w:t>北京市规划和自然资源委员会</w:t>
      </w:r>
      <w:r>
        <w:rPr>
          <w:rFonts w:hint="default" w:ascii="Arial" w:hAnsi="Arial" w:cs="Arial" w:eastAsiaTheme="minorEastAsia"/>
          <w:color w:val="FF0000"/>
          <w:sz w:val="48"/>
          <w:szCs w:val="48"/>
          <w:u w:val="single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color w:val="FF0000"/>
          <w:sz w:val="48"/>
          <w:szCs w:val="48"/>
          <w:u w:val="single"/>
          <w:lang w:eastAsia="zh-CN"/>
        </w:rPr>
        <w:t>分局</w:t>
      </w:r>
    </w:p>
    <w:p>
      <w:pPr>
        <w:rPr>
          <w:rFonts w:hint="eastAsia" w:asciiTheme="minorEastAsia" w:hAnsiTheme="minorEastAsia" w:cstheme="minorEastAsia"/>
          <w:lang w:eastAsia="zh-CN"/>
        </w:rPr>
      </w:pPr>
    </w:p>
    <w:p>
      <w:pPr>
        <w:rPr>
          <w:rFonts w:hint="eastAsia" w:ascii="Arial" w:hAnsi="Arial" w:cs="Arial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京规自</w:t>
      </w:r>
      <w:r>
        <w:rPr>
          <w:rFonts w:hint="default" w:ascii="Arial" w:hAnsi="Arial" w:cs="Arial"/>
          <w:sz w:val="28"/>
          <w:szCs w:val="28"/>
          <w:u w:val="none"/>
          <w:lang w:eastAsia="zh-CN"/>
        </w:rPr>
        <w:t>×</w:t>
      </w:r>
      <w:r>
        <w:rPr>
          <w:rFonts w:hint="eastAsia" w:ascii="Arial" w:hAnsi="Arial" w:cs="Arial"/>
          <w:sz w:val="28"/>
          <w:szCs w:val="28"/>
          <w:u w:val="none"/>
          <w:lang w:eastAsia="zh-CN"/>
        </w:rPr>
        <w:t>临</w:t>
      </w:r>
      <w:r>
        <w:rPr>
          <w:rFonts w:hint="eastAsia" w:ascii="Arial" w:hAnsi="Arial" w:cs="Arial"/>
          <w:sz w:val="28"/>
          <w:szCs w:val="28"/>
          <w:u w:val="none"/>
          <w:lang w:val="en-US" w:eastAsia="zh-CN"/>
        </w:rPr>
        <w:t>[2020]</w:t>
      </w:r>
      <w:r>
        <w:rPr>
          <w:rFonts w:hint="default" w:ascii="Arial" w:hAnsi="Arial" w:cs="Arial"/>
          <w:sz w:val="28"/>
          <w:szCs w:val="28"/>
          <w:u w:val="none"/>
          <w:lang w:eastAsia="zh-CN"/>
        </w:rPr>
        <w:t>×</w:t>
      </w:r>
      <w:r>
        <w:rPr>
          <w:rFonts w:hint="eastAsia" w:ascii="Arial" w:hAnsi="Arial" w:cs="Arial"/>
          <w:sz w:val="28"/>
          <w:szCs w:val="28"/>
          <w:u w:val="none"/>
          <w:lang w:eastAsia="zh-CN"/>
        </w:rPr>
        <w:t>号</w:t>
      </w:r>
    </w:p>
    <w:p>
      <w:pPr>
        <w:rPr>
          <w:rFonts w:hint="eastAsia" w:ascii="Arial" w:hAnsi="Arial" w:cs="Arial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sz w:val="44"/>
          <w:szCs w:val="44"/>
          <w:u w:val="none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u w:val="none"/>
          <w:lang w:eastAsia="zh-CN"/>
        </w:rPr>
        <w:t>北京市规划和自然资源委员会××分局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sz w:val="44"/>
          <w:szCs w:val="44"/>
          <w:u w:val="none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u w:val="none"/>
          <w:lang w:eastAsia="zh-CN"/>
        </w:rPr>
        <w:t>关于××区××镇×××地块××项目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sz w:val="44"/>
          <w:szCs w:val="44"/>
          <w:u w:val="none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u w:val="none"/>
          <w:lang w:eastAsia="zh-CN"/>
        </w:rPr>
        <w:t>××临时设施的临时用地的批复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北京市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>你单位申报的《关于申请建设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区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镇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地块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项目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临时设施的临时用地的请示》（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××××</w:t>
      </w: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>[2020]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号），经我局审查原则同意现批复如下：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>同意你单位建设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区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镇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地块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项目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临时设施的临时用地项目使用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区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镇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村约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</w:t>
      </w: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>.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公顷集体土地为临时用地的申请。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>该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临时用地用于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区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镇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地块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项目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临时设施的临时用地项目使用。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你单位应按临时用地协议约定足额拨发补偿资金。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临时用地使用期满后须自行拆除地上建筑物、构筑物并恢复土地原貌。逾期三个月不实施的由镇政府组织拆除并恢复土地原貌。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你单位应严格遵守《中华人民共和国土地管理法》等法律法规的规定，在临时用地上不得建设永久性建筑物、构筑物。如遇规划建设需要拆迁应无条件服从，临时用地使用期满后仍要使用土地的，需及时重新办理延期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>该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临时用地使用期限为两年，自批准之日起计算。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>此复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 xml:space="preserve">             北京市规划和自然资源委员会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分局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 xml:space="preserve">                         2020年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u w:val="none"/>
          <w:lang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ragraph">
                  <wp:posOffset>76835</wp:posOffset>
                </wp:positionV>
                <wp:extent cx="1363980" cy="586740"/>
                <wp:effectExtent l="4445" t="4445" r="18415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2235" y="8585835"/>
                          <a:ext cx="136398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固定资产投资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项目代码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05pt;margin-top:6.05pt;height:46.2pt;width:107.4pt;z-index:251658240;mso-width-relative:page;mso-height-relative:page;" fillcolor="#FFFFFF [3201]" filled="t" stroked="t" coordsize="21600,21600" o:gfxdata="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oxaLrXAAAACgEAAA8AAAAAAAAA&#10;AQAgAAAAIgAAAGRycy9kb3ducmV2LnhtbFBLAQIUABQAAAAIAIdO4kB/g9SpSwIAAHU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固定资产投资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项目代码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59C10"/>
    <w:multiLevelType w:val="singleLevel"/>
    <w:tmpl w:val="81859C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05059"/>
    <w:rsid w:val="4E5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2020-09-23T10:43:00Z</dcterms:created>
  <dc:creator>范忠伟</dc:creator>
  <cp:lastModifiedBy>范忠伟</cp:lastModifiedBy>
  <dcterms:modified xsi:type="dcterms:W3CDTF">2020-09-23T11:11:23Z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