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933779">
      <w:pPr>
        <w:snapToGrid w:val="0"/>
        <w:spacing w:line="360" w:lineRule="auto"/>
        <w:jc w:val="center"/>
        <w:rPr>
          <w:rFonts w:ascii="宋体" w:hAnsi="宋体" w:cs="宋体"/>
          <w:color w:val="000000"/>
          <w:sz w:val="24"/>
          <w:szCs w:val="24"/>
        </w:rPr>
      </w:pPr>
    </w:p>
    <w:p w14:paraId="183FCC39">
      <w:pPr>
        <w:snapToGrid w:val="0"/>
        <w:spacing w:line="360" w:lineRule="auto"/>
        <w:jc w:val="center"/>
        <w:rPr>
          <w:rFonts w:ascii="宋体" w:hAnsi="宋体" w:cs="宋体"/>
          <w:color w:val="000000"/>
          <w:sz w:val="24"/>
          <w:szCs w:val="24"/>
        </w:rPr>
      </w:pPr>
    </w:p>
    <w:p w14:paraId="19A512F5">
      <w:pPr>
        <w:snapToGrid w:val="0"/>
        <w:spacing w:line="360" w:lineRule="auto"/>
        <w:rPr>
          <w:rFonts w:ascii="宋体" w:hAnsi="宋体" w:cs="宋体"/>
          <w:color w:val="000000"/>
          <w:sz w:val="24"/>
          <w:szCs w:val="24"/>
        </w:rPr>
      </w:pPr>
    </w:p>
    <w:p w14:paraId="73ACA04F">
      <w:pPr>
        <w:snapToGrid w:val="0"/>
        <w:spacing w:line="360" w:lineRule="auto"/>
        <w:jc w:val="center"/>
        <w:rPr>
          <w:rFonts w:ascii="黑体" w:hAnsi="黑体" w:eastAsia="黑体"/>
          <w:color w:val="000000"/>
          <w:sz w:val="44"/>
          <w:szCs w:val="44"/>
        </w:rPr>
      </w:pPr>
      <w:r>
        <w:rPr>
          <w:rFonts w:hint="eastAsia" w:ascii="黑体" w:hAnsi="黑体" w:eastAsia="黑体"/>
          <w:color w:val="000000"/>
          <w:sz w:val="44"/>
          <w:szCs w:val="44"/>
        </w:rPr>
        <w:t>北京住房公积金管理中心</w:t>
      </w:r>
    </w:p>
    <w:p w14:paraId="1D2BCF96">
      <w:pPr>
        <w:snapToGrid w:val="0"/>
        <w:spacing w:line="360" w:lineRule="auto"/>
        <w:ind w:right="-525" w:rightChars="-250"/>
        <w:rPr>
          <w:rFonts w:ascii="黑体" w:hAnsi="黑体" w:eastAsia="黑体"/>
          <w:color w:val="000000"/>
          <w:sz w:val="44"/>
          <w:szCs w:val="44"/>
        </w:rPr>
      </w:pPr>
      <w:r>
        <w:rPr>
          <w:rFonts w:hint="eastAsia" w:ascii="黑体" w:hAnsi="黑体" w:eastAsia="黑体"/>
          <w:color w:val="000000"/>
          <w:sz w:val="44"/>
          <w:szCs w:val="44"/>
        </w:rPr>
        <w:t xml:space="preserve">    住房公积金个人住房贷款借款合同</w:t>
      </w:r>
    </w:p>
    <w:p w14:paraId="71E6AE1D">
      <w:pPr>
        <w:snapToGrid w:val="0"/>
        <w:spacing w:line="360" w:lineRule="auto"/>
        <w:ind w:right="-525" w:rightChars="-250"/>
        <w:rPr>
          <w:rFonts w:ascii="黑体" w:hAnsi="黑体" w:eastAsia="黑体"/>
          <w:color w:val="000000"/>
          <w:sz w:val="44"/>
          <w:szCs w:val="44"/>
        </w:rPr>
      </w:pPr>
      <w:r>
        <w:rPr>
          <w:rFonts w:hint="eastAsia" w:ascii="楷体" w:hAnsi="Times New Roman" w:eastAsia="楷体"/>
          <w:color w:val="000000"/>
          <w:sz w:val="28"/>
          <w:szCs w:val="28"/>
        </w:rPr>
        <w:t xml:space="preserve">                       （2021版）</w:t>
      </w:r>
    </w:p>
    <w:p w14:paraId="5FC68A1F">
      <w:pPr>
        <w:snapToGrid w:val="0"/>
        <w:spacing w:line="360" w:lineRule="auto"/>
        <w:ind w:right="-525" w:rightChars="-250"/>
        <w:rPr>
          <w:rFonts w:ascii="黑体" w:hAnsi="黑体" w:eastAsia="黑体"/>
          <w:color w:val="000000"/>
          <w:sz w:val="44"/>
          <w:szCs w:val="44"/>
        </w:rPr>
      </w:pPr>
    </w:p>
    <w:p w14:paraId="78DBEC7D">
      <w:pPr>
        <w:snapToGrid w:val="0"/>
        <w:spacing w:line="360" w:lineRule="auto"/>
        <w:jc w:val="center"/>
        <w:rPr>
          <w:rFonts w:ascii="黑体" w:hAnsi="黑体" w:eastAsia="黑体"/>
          <w:color w:val="000000"/>
          <w:sz w:val="32"/>
          <w:szCs w:val="32"/>
        </w:rPr>
      </w:pPr>
    </w:p>
    <w:p w14:paraId="01305A09">
      <w:pPr>
        <w:snapToGrid w:val="0"/>
        <w:spacing w:line="360" w:lineRule="auto"/>
        <w:jc w:val="center"/>
        <w:rPr>
          <w:rFonts w:ascii="黑体" w:hAnsi="黑体" w:eastAsia="黑体"/>
          <w:color w:val="000000"/>
          <w:sz w:val="36"/>
          <w:szCs w:val="36"/>
        </w:rPr>
      </w:pPr>
      <w:r>
        <w:rPr>
          <w:rFonts w:hint="eastAsia" w:ascii="黑体" w:hAnsi="黑体" w:eastAsia="黑体"/>
          <w:color w:val="000000"/>
          <w:sz w:val="28"/>
          <w:szCs w:val="28"/>
        </w:rPr>
        <w:t xml:space="preserve">                           </w:t>
      </w:r>
    </w:p>
    <w:p w14:paraId="1037EF39">
      <w:pPr>
        <w:ind w:firstLine="960" w:firstLineChars="300"/>
        <w:rPr>
          <w:rFonts w:ascii="Times New Roman" w:hAnsi="Times New Roman" w:eastAsia="仿宋_GB2312"/>
          <w:sz w:val="32"/>
          <w:szCs w:val="32"/>
        </w:rPr>
      </w:pPr>
      <w:r>
        <w:rPr>
          <w:rFonts w:hint="eastAsia" w:ascii="黑体" w:hAnsi="黑体" w:eastAsia="黑体"/>
          <w:sz w:val="32"/>
          <w:szCs w:val="32"/>
        </w:rPr>
        <w:t>合同编号：</w:t>
      </w:r>
      <w:r>
        <w:rPr>
          <w:rFonts w:hint="eastAsia" w:ascii="黑体" w:hAnsi="黑体" w:eastAsia="黑体"/>
          <w:sz w:val="32"/>
          <w:szCs w:val="32"/>
          <w:u w:val="single"/>
        </w:rPr>
        <w:t xml:space="preserve">    </w:t>
      </w:r>
      <w:r>
        <w:rPr>
          <w:rFonts w:hint="eastAsia" w:ascii="仿宋_GB2312" w:hAnsi="仿宋_GB2312" w:eastAsia="仿宋_GB2312" w:cs="仿宋_GB2312"/>
          <w:i/>
          <w:iCs/>
          <w:sz w:val="32"/>
          <w:szCs w:val="32"/>
          <w:u w:val="single"/>
        </w:rPr>
        <w:t xml:space="preserve">同 借 款 申 请 人 编 号    </w:t>
      </w:r>
    </w:p>
    <w:p w14:paraId="03766FB6">
      <w:pPr>
        <w:snapToGrid w:val="0"/>
        <w:spacing w:line="360" w:lineRule="auto"/>
        <w:jc w:val="center"/>
        <w:rPr>
          <w:rFonts w:ascii="黑体" w:hAnsi="黑体" w:eastAsia="黑体"/>
          <w:color w:val="000000"/>
          <w:sz w:val="36"/>
          <w:szCs w:val="36"/>
        </w:rPr>
      </w:pPr>
    </w:p>
    <w:p w14:paraId="77DD588E">
      <w:pPr>
        <w:snapToGrid w:val="0"/>
        <w:spacing w:line="360" w:lineRule="auto"/>
        <w:jc w:val="center"/>
        <w:rPr>
          <w:rFonts w:ascii="黑体" w:hAnsi="黑体" w:eastAsia="黑体"/>
          <w:color w:val="000000"/>
          <w:sz w:val="36"/>
          <w:szCs w:val="36"/>
        </w:rPr>
      </w:pPr>
    </w:p>
    <w:p w14:paraId="39B18A83">
      <w:pPr>
        <w:snapToGrid w:val="0"/>
        <w:spacing w:line="360" w:lineRule="auto"/>
        <w:jc w:val="center"/>
        <w:rPr>
          <w:rFonts w:ascii="黑体" w:hAnsi="黑体" w:eastAsia="黑体"/>
          <w:color w:val="000000"/>
          <w:sz w:val="36"/>
          <w:szCs w:val="36"/>
        </w:rPr>
      </w:pPr>
    </w:p>
    <w:p w14:paraId="3D059E1D">
      <w:pPr>
        <w:snapToGrid w:val="0"/>
        <w:spacing w:line="360" w:lineRule="auto"/>
        <w:ind w:firstLine="1120" w:firstLineChars="400"/>
        <w:rPr>
          <w:rFonts w:ascii="黑体" w:hAnsi="黑体" w:eastAsia="黑体"/>
          <w:color w:val="000000"/>
          <w:sz w:val="28"/>
          <w:szCs w:val="28"/>
        </w:rPr>
      </w:pPr>
      <w:r>
        <w:rPr>
          <w:rFonts w:hint="eastAsia" w:ascii="黑体" w:hAnsi="黑体" w:eastAsia="黑体"/>
          <w:color w:val="000000"/>
          <w:sz w:val="28"/>
          <w:szCs w:val="28"/>
        </w:rPr>
        <w:t xml:space="preserve">                  </w:t>
      </w:r>
    </w:p>
    <w:p w14:paraId="16C5B101">
      <w:pPr>
        <w:snapToGrid w:val="0"/>
        <w:spacing w:line="360" w:lineRule="auto"/>
        <w:jc w:val="center"/>
        <w:rPr>
          <w:rFonts w:ascii="宋体" w:hAnsi="宋体"/>
          <w:color w:val="000000"/>
          <w:sz w:val="22"/>
          <w:szCs w:val="32"/>
        </w:rPr>
      </w:pPr>
    </w:p>
    <w:p w14:paraId="36C48952">
      <w:pPr>
        <w:snapToGrid w:val="0"/>
        <w:spacing w:line="360" w:lineRule="auto"/>
        <w:rPr>
          <w:rFonts w:ascii="宋体" w:hAnsi="宋体"/>
          <w:color w:val="000000"/>
          <w:sz w:val="22"/>
          <w:szCs w:val="32"/>
        </w:rPr>
      </w:pPr>
    </w:p>
    <w:p w14:paraId="1C1B094E">
      <w:pPr>
        <w:snapToGrid w:val="0"/>
        <w:spacing w:line="360" w:lineRule="auto"/>
        <w:rPr>
          <w:rFonts w:ascii="宋体" w:hAnsi="宋体"/>
          <w:color w:val="000000"/>
          <w:sz w:val="22"/>
          <w:szCs w:val="32"/>
        </w:rPr>
      </w:pPr>
    </w:p>
    <w:p w14:paraId="23ACE6D1">
      <w:pPr>
        <w:snapToGrid w:val="0"/>
        <w:spacing w:line="360" w:lineRule="auto"/>
        <w:jc w:val="center"/>
        <w:rPr>
          <w:rFonts w:ascii="宋体" w:hAnsi="宋体"/>
          <w:color w:val="000000"/>
          <w:sz w:val="22"/>
          <w:szCs w:val="32"/>
        </w:rPr>
      </w:pPr>
    </w:p>
    <w:p w14:paraId="1FF70853">
      <w:pPr>
        <w:snapToGrid w:val="0"/>
        <w:spacing w:line="360" w:lineRule="auto"/>
        <w:jc w:val="center"/>
        <w:rPr>
          <w:rFonts w:ascii="宋体" w:hAnsi="宋体"/>
          <w:color w:val="000000"/>
          <w:sz w:val="22"/>
          <w:szCs w:val="32"/>
        </w:rPr>
      </w:pPr>
    </w:p>
    <w:p w14:paraId="2144BC0B">
      <w:pPr>
        <w:snapToGrid w:val="0"/>
        <w:spacing w:line="360" w:lineRule="auto"/>
        <w:jc w:val="center"/>
        <w:rPr>
          <w:rFonts w:ascii="宋体" w:hAnsi="宋体"/>
          <w:color w:val="000000"/>
          <w:sz w:val="22"/>
          <w:szCs w:val="32"/>
        </w:rPr>
      </w:pPr>
    </w:p>
    <w:p w14:paraId="4B0487C9">
      <w:pPr>
        <w:snapToGrid w:val="0"/>
        <w:spacing w:line="360" w:lineRule="auto"/>
        <w:ind w:firstLine="2240" w:firstLineChars="700"/>
        <w:jc w:val="left"/>
        <w:rPr>
          <w:rFonts w:ascii="Times New Roman" w:hAnsi="Times New Roman"/>
          <w:color w:val="000000"/>
          <w:sz w:val="32"/>
          <w:szCs w:val="32"/>
        </w:rPr>
      </w:pPr>
      <w:r>
        <w:rPr>
          <w:rFonts w:hint="eastAsia" w:ascii="Times New Roman" w:hAnsi="Times New Roman"/>
          <w:color w:val="000000"/>
          <w:sz w:val="32"/>
          <w:szCs w:val="32"/>
        </w:rPr>
        <w:t>北京住房公积金管理中心印制</w:t>
      </w:r>
    </w:p>
    <w:p w14:paraId="4904E4EA">
      <w:pPr>
        <w:snapToGrid w:val="0"/>
        <w:spacing w:line="360" w:lineRule="auto"/>
        <w:ind w:firstLine="2240" w:firstLineChars="700"/>
        <w:jc w:val="left"/>
        <w:rPr>
          <w:rFonts w:ascii="Times New Roman" w:hAnsi="Times New Roman"/>
          <w:color w:val="000000"/>
          <w:sz w:val="32"/>
          <w:szCs w:val="32"/>
        </w:rPr>
      </w:pPr>
    </w:p>
    <w:p w14:paraId="0E4A7593">
      <w:pPr>
        <w:snapToGrid w:val="0"/>
        <w:spacing w:line="360" w:lineRule="auto"/>
        <w:ind w:firstLine="2240" w:firstLineChars="700"/>
        <w:jc w:val="left"/>
        <w:rPr>
          <w:rFonts w:hint="eastAsia" w:ascii="Times New Roman" w:hAnsi="Times New Roman"/>
          <w:color w:val="000000"/>
          <w:sz w:val="32"/>
          <w:szCs w:val="32"/>
        </w:rPr>
      </w:pPr>
    </w:p>
    <w:p w14:paraId="11589BD7">
      <w:pPr>
        <w:snapToGrid w:val="0"/>
        <w:spacing w:line="360" w:lineRule="auto"/>
        <w:ind w:firstLine="1540" w:firstLineChars="700"/>
        <w:jc w:val="left"/>
        <w:rPr>
          <w:rFonts w:ascii="宋体" w:hAnsi="宋体"/>
          <w:color w:val="000000"/>
          <w:sz w:val="22"/>
          <w:szCs w:val="32"/>
        </w:rPr>
      </w:pPr>
    </w:p>
    <w:p w14:paraId="2B0C1AA4">
      <w:pPr>
        <w:snapToGrid w:val="0"/>
        <w:spacing w:line="360" w:lineRule="auto"/>
        <w:jc w:val="center"/>
        <w:rPr>
          <w:rFonts w:ascii="黑体" w:hAnsi="黑体" w:eastAsia="黑体"/>
          <w:color w:val="000000"/>
          <w:sz w:val="44"/>
          <w:szCs w:val="44"/>
        </w:rPr>
      </w:pPr>
      <w:r>
        <w:rPr>
          <w:rFonts w:hint="eastAsia" w:ascii="黑体" w:hAnsi="黑体" w:eastAsia="黑体"/>
          <w:color w:val="000000"/>
          <w:sz w:val="36"/>
          <w:szCs w:val="32"/>
        </w:rPr>
        <w:t>说   明</w:t>
      </w:r>
    </w:p>
    <w:p w14:paraId="57C22013">
      <w:pPr>
        <w:snapToGrid w:val="0"/>
        <w:spacing w:line="360" w:lineRule="auto"/>
        <w:jc w:val="center"/>
        <w:rPr>
          <w:rFonts w:ascii="宋体" w:hAnsi="宋体" w:cs="宋体"/>
          <w:color w:val="000000"/>
          <w:sz w:val="24"/>
          <w:szCs w:val="24"/>
        </w:rPr>
      </w:pPr>
    </w:p>
    <w:p w14:paraId="69D9C4F1">
      <w:pPr>
        <w:snapToGrid w:val="0"/>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根据《住房公积金管理条例》和《北京住房公积金贷款办法》的规定，凡缴存住房公积金的在职职工和在职期间在北京住房公积金管理中心缴存住房公积金的离退休职工，均可向北京住房公积金管理中心申请住房公积金个人住房贷款（以下简称“贷款”）。为确保贷款安全，借款申请人须与北京住房公积金管理中心签订借款合同。</w:t>
      </w:r>
    </w:p>
    <w:p w14:paraId="4BEEA2F8">
      <w:pPr>
        <w:snapToGrid w:val="0"/>
        <w:spacing w:line="360" w:lineRule="auto"/>
        <w:ind w:left="495"/>
        <w:rPr>
          <w:rFonts w:ascii="宋体" w:hAnsi="宋体" w:cs="宋体"/>
          <w:color w:val="000000"/>
          <w:sz w:val="24"/>
          <w:szCs w:val="24"/>
        </w:rPr>
      </w:pPr>
      <w:r>
        <w:rPr>
          <w:rFonts w:ascii="宋体" w:hAnsi="宋体" w:cs="宋体"/>
          <w:color w:val="000000"/>
          <w:sz w:val="24"/>
          <w:szCs w:val="24"/>
        </w:rPr>
        <w:t>①</w:t>
      </w:r>
      <w:r>
        <w:rPr>
          <w:rFonts w:hint="eastAsia" w:ascii="宋体" w:hAnsi="宋体" w:cs="宋体"/>
          <w:color w:val="000000"/>
          <w:sz w:val="24"/>
          <w:szCs w:val="24"/>
        </w:rPr>
        <w:t>合同甲方为符合贷款条件的借款人，用其贷款所购住房作为抵押物，经北</w:t>
      </w:r>
    </w:p>
    <w:p w14:paraId="7EF6ED97">
      <w:pPr>
        <w:snapToGrid w:val="0"/>
        <w:spacing w:line="360" w:lineRule="auto"/>
        <w:rPr>
          <w:rFonts w:ascii="宋体" w:hAnsi="宋体" w:cs="宋体"/>
          <w:color w:val="000000"/>
          <w:sz w:val="24"/>
          <w:szCs w:val="24"/>
        </w:rPr>
      </w:pPr>
      <w:r>
        <w:rPr>
          <w:rFonts w:hint="eastAsia" w:ascii="宋体" w:hAnsi="宋体" w:cs="宋体"/>
          <w:color w:val="000000"/>
          <w:sz w:val="24"/>
          <w:szCs w:val="24"/>
        </w:rPr>
        <w:t>京住房公积金管理中心审批同意，获得贷款资金，并承担还款义务。</w:t>
      </w:r>
    </w:p>
    <w:p w14:paraId="48C29B28">
      <w:pPr>
        <w:snapToGrid w:val="0"/>
        <w:spacing w:line="360" w:lineRule="auto"/>
        <w:ind w:firstLine="495"/>
        <w:rPr>
          <w:rFonts w:ascii="宋体" w:hAnsi="宋体" w:cs="宋体"/>
          <w:color w:val="000000"/>
          <w:sz w:val="24"/>
          <w:szCs w:val="24"/>
        </w:rPr>
      </w:pPr>
      <w:r>
        <w:rPr>
          <w:rFonts w:hint="eastAsia" w:ascii="宋体" w:hAnsi="宋体" w:cs="宋体"/>
          <w:color w:val="000000"/>
          <w:sz w:val="24"/>
          <w:szCs w:val="24"/>
        </w:rPr>
        <w:t>②合同乙方为北京住房公积金管理中心，是贷款的委托人</w:t>
      </w:r>
      <w:r>
        <w:rPr>
          <w:rFonts w:ascii="宋体" w:hAnsi="宋体" w:cs="宋体"/>
          <w:color w:val="000000"/>
          <w:sz w:val="24"/>
          <w:szCs w:val="24"/>
        </w:rPr>
        <w:t>，是贷款</w:t>
      </w:r>
      <w:r>
        <w:rPr>
          <w:rFonts w:hint="eastAsia" w:ascii="宋体" w:hAnsi="宋体" w:cs="宋体"/>
          <w:color w:val="000000"/>
          <w:sz w:val="24"/>
          <w:szCs w:val="24"/>
        </w:rPr>
        <w:t>资金的出借人</w:t>
      </w:r>
      <w:r>
        <w:rPr>
          <w:rFonts w:hint="eastAsia" w:ascii="宋体" w:hAnsi="宋体" w:cs="宋体"/>
          <w:sz w:val="24"/>
          <w:szCs w:val="24"/>
        </w:rPr>
        <w:t>，</w:t>
      </w:r>
      <w:r>
        <w:rPr>
          <w:rFonts w:ascii="宋体" w:hAnsi="宋体" w:cs="宋体"/>
          <w:color w:val="000000"/>
          <w:sz w:val="24"/>
          <w:szCs w:val="24"/>
        </w:rPr>
        <w:t>也</w:t>
      </w:r>
      <w:r>
        <w:rPr>
          <w:rFonts w:hint="eastAsia" w:ascii="宋体" w:hAnsi="宋体" w:cs="宋体"/>
          <w:sz w:val="24"/>
          <w:szCs w:val="24"/>
        </w:rPr>
        <w:t>是贷款所购住房的抵押权人。</w:t>
      </w:r>
      <w:r>
        <w:rPr>
          <w:rFonts w:hint="eastAsia" w:ascii="宋体" w:hAnsi="宋体" w:cs="宋体"/>
          <w:color w:val="000000"/>
          <w:sz w:val="24"/>
          <w:szCs w:val="24"/>
        </w:rPr>
        <w:t>本合同乙方盖章由北京住房公积金管理中心下属单位贷款中心或远郊管理部，在北京住房公积金管理中心授权下签署，北京住房公积金管理中心享有并承担本合同乙方的全部权利和义务。</w:t>
      </w:r>
    </w:p>
    <w:p w14:paraId="2D6F1F04">
      <w:pPr>
        <w:snapToGrid w:val="0"/>
        <w:spacing w:line="360" w:lineRule="auto"/>
        <w:ind w:firstLine="495"/>
        <w:rPr>
          <w:rFonts w:ascii="宋体" w:hAnsi="宋体" w:cs="宋体"/>
          <w:color w:val="000000"/>
          <w:sz w:val="24"/>
          <w:szCs w:val="24"/>
        </w:rPr>
      </w:pPr>
      <w:r>
        <w:rPr>
          <w:rFonts w:hint="eastAsia" w:ascii="宋体" w:hAnsi="宋体" w:cs="宋体"/>
          <w:color w:val="000000"/>
          <w:sz w:val="24"/>
          <w:szCs w:val="24"/>
        </w:rPr>
        <w:t>③合同丙方为受北京住房公积金管理中心委托，按照北京住房公积金管理中心确定的贷款对象、用途、金额、期限、利率等，办理贷款资金发放和贷款资金回收等业务的受委托银行，</w:t>
      </w:r>
      <w:r>
        <w:rPr>
          <w:rFonts w:ascii="宋体" w:hAnsi="宋体" w:cs="宋体"/>
          <w:color w:val="000000"/>
          <w:sz w:val="24"/>
          <w:szCs w:val="24"/>
        </w:rPr>
        <w:t>是贷款的受托人</w:t>
      </w:r>
      <w:r>
        <w:rPr>
          <w:rFonts w:hint="eastAsia" w:ascii="宋体" w:hAnsi="宋体" w:cs="宋体"/>
          <w:color w:val="000000"/>
          <w:sz w:val="24"/>
          <w:szCs w:val="24"/>
        </w:rPr>
        <w:t>。</w:t>
      </w:r>
    </w:p>
    <w:p w14:paraId="5E6EFC08">
      <w:pPr>
        <w:snapToGrid w:val="0"/>
        <w:spacing w:line="360" w:lineRule="auto"/>
        <w:ind w:firstLine="495"/>
        <w:rPr>
          <w:rFonts w:ascii="宋体" w:hAnsi="宋体" w:cs="宋体"/>
          <w:color w:val="000000"/>
          <w:sz w:val="24"/>
          <w:szCs w:val="24"/>
        </w:rPr>
      </w:pPr>
      <w:r>
        <w:rPr>
          <w:rFonts w:hint="eastAsia" w:ascii="宋体" w:hAnsi="宋体" w:cs="宋体"/>
          <w:color w:val="000000"/>
          <w:sz w:val="24"/>
          <w:szCs w:val="24"/>
        </w:rPr>
        <w:t>④合同丁方为担保人，包括抵押人及保证人。抵押人应以贷款所购住房进行抵押。甲方购买新建住房的</w:t>
      </w:r>
      <w:r>
        <w:rPr>
          <w:rFonts w:ascii="宋体" w:hAnsi="宋体" w:cs="宋体"/>
          <w:color w:val="000000"/>
          <w:sz w:val="24"/>
          <w:szCs w:val="24"/>
        </w:rPr>
        <w:t>，</w:t>
      </w:r>
      <w:r>
        <w:rPr>
          <w:rFonts w:hint="eastAsia" w:ascii="宋体" w:hAnsi="宋体" w:cs="宋体"/>
          <w:color w:val="000000"/>
          <w:sz w:val="24"/>
          <w:szCs w:val="24"/>
        </w:rPr>
        <w:t>在抵押登记办妥前，由售房人作为保证人为贷款提供阶段性连带责任保证，如售房人无法提供担保，由北京市住房贷款担保中心作为保证人提供阶段性连带责任保证，抵押人承诺一旦具备条件，需按乙方规定无条件将所购住房进行抵押，抵押登记完毕，保证人阶段性连带责任保证自动解除。</w:t>
      </w:r>
    </w:p>
    <w:p w14:paraId="15EBC0BC">
      <w:pPr>
        <w:snapToGrid w:val="0"/>
        <w:spacing w:line="348" w:lineRule="auto"/>
        <w:rPr>
          <w:rFonts w:ascii="宋体" w:hAnsi="宋体" w:cs="宋体"/>
          <w:color w:val="000000"/>
          <w:sz w:val="24"/>
          <w:szCs w:val="24"/>
        </w:rPr>
        <w:sectPr>
          <w:headerReference r:id="rId3" w:type="default"/>
          <w:headerReference r:id="rId4" w:type="even"/>
          <w:pgSz w:w="11906" w:h="16838"/>
          <w:pgMar w:top="1361" w:right="1701" w:bottom="1448" w:left="1701" w:header="851" w:footer="992" w:gutter="0"/>
          <w:pgNumType w:fmt="numberInDash"/>
          <w:cols w:space="720" w:num="1"/>
          <w:docGrid w:type="linesAndChars" w:linePitch="290" w:charSpace="0"/>
        </w:sectPr>
      </w:pPr>
    </w:p>
    <w:p w14:paraId="6269D757">
      <w:pPr>
        <w:snapToGrid w:val="0"/>
        <w:spacing w:line="480" w:lineRule="exact"/>
        <w:rPr>
          <w:rFonts w:ascii="宋体" w:hAnsi="宋体" w:cs="宋体"/>
          <w:color w:val="000000"/>
          <w:sz w:val="24"/>
          <w:szCs w:val="24"/>
        </w:rPr>
      </w:pPr>
      <w:r>
        <w:rPr>
          <w:rFonts w:hint="eastAsia" w:ascii="宋体" w:hAnsi="宋体" w:cs="宋体"/>
          <w:color w:val="000000"/>
          <w:sz w:val="24"/>
          <w:szCs w:val="24"/>
        </w:rPr>
        <w:t>借款人（甲方）：</w:t>
      </w:r>
      <w:r>
        <w:rPr>
          <w:rFonts w:hint="eastAsia" w:ascii="宋体" w:hAnsi="宋体" w:cs="宋体"/>
          <w:i/>
          <w:iCs/>
          <w:color w:val="000000"/>
          <w:sz w:val="24"/>
          <w:szCs w:val="24"/>
        </w:rPr>
        <w:t xml:space="preserve"> （  姓名        身份证件号码               ） </w:t>
      </w:r>
    </w:p>
    <w:p w14:paraId="14B3A9AC">
      <w:pPr>
        <w:snapToGrid w:val="0"/>
        <w:spacing w:line="480" w:lineRule="exact"/>
        <w:ind w:firstLine="720" w:firstLineChars="300"/>
        <w:rPr>
          <w:rFonts w:ascii="宋体" w:hAnsi="宋体" w:cs="宋体"/>
          <w:i/>
          <w:iCs/>
          <w:color w:val="000000"/>
          <w:sz w:val="24"/>
          <w:szCs w:val="24"/>
        </w:rPr>
      </w:pPr>
      <w:r>
        <w:rPr>
          <w:rFonts w:hint="eastAsia" w:ascii="宋体" w:hAnsi="宋体" w:cs="宋体"/>
          <w:i/>
          <w:iCs/>
          <w:color w:val="000000"/>
          <w:sz w:val="24"/>
          <w:szCs w:val="24"/>
        </w:rPr>
        <w:t xml:space="preserve">  </w:t>
      </w:r>
      <w:r>
        <w:rPr>
          <w:rFonts w:ascii="宋体" w:hAnsi="宋体" w:cs="宋体"/>
          <w:i/>
          <w:iCs/>
          <w:color w:val="000000"/>
          <w:sz w:val="24"/>
          <w:szCs w:val="24"/>
        </w:rPr>
        <w:t xml:space="preserve">        </w:t>
      </w:r>
      <w:r>
        <w:rPr>
          <w:rFonts w:hint="eastAsia" w:ascii="宋体" w:hAnsi="宋体" w:cs="宋体"/>
          <w:i/>
          <w:iCs/>
          <w:color w:val="000000"/>
          <w:sz w:val="24"/>
          <w:szCs w:val="24"/>
        </w:rPr>
        <w:t xml:space="preserve">（  姓名        身份证件号码               ） </w:t>
      </w:r>
    </w:p>
    <w:p w14:paraId="4CAAC1D7">
      <w:pPr>
        <w:snapToGrid w:val="0"/>
        <w:spacing w:line="480" w:lineRule="exact"/>
        <w:rPr>
          <w:rFonts w:ascii="宋体" w:hAnsi="宋体" w:cs="宋体"/>
          <w:color w:val="000000"/>
          <w:sz w:val="24"/>
          <w:szCs w:val="24"/>
        </w:rPr>
      </w:pPr>
      <w:r>
        <w:rPr>
          <w:rFonts w:hint="eastAsia" w:ascii="宋体" w:hAnsi="宋体" w:cs="宋体"/>
          <w:color w:val="000000"/>
          <w:sz w:val="24"/>
          <w:szCs w:val="24"/>
        </w:rPr>
        <w:t>委托人</w:t>
      </w:r>
      <w:r>
        <w:rPr>
          <w:rFonts w:ascii="宋体" w:hAnsi="宋体" w:cs="宋体"/>
          <w:color w:val="000000"/>
          <w:sz w:val="24"/>
          <w:szCs w:val="24"/>
        </w:rPr>
        <w:t>（</w:t>
      </w:r>
      <w:r>
        <w:rPr>
          <w:rFonts w:hint="eastAsia" w:ascii="宋体" w:hAnsi="宋体" w:cs="宋体"/>
          <w:color w:val="000000"/>
          <w:sz w:val="24"/>
          <w:szCs w:val="24"/>
        </w:rPr>
        <w:t>乙方</w:t>
      </w:r>
      <w:r>
        <w:rPr>
          <w:rFonts w:ascii="宋体" w:hAnsi="宋体" w:cs="宋体"/>
          <w:color w:val="000000"/>
          <w:sz w:val="24"/>
          <w:szCs w:val="24"/>
        </w:rPr>
        <w:t>）</w:t>
      </w:r>
      <w:r>
        <w:rPr>
          <w:rFonts w:hint="eastAsia" w:ascii="宋体" w:hAnsi="宋体" w:cs="宋体"/>
          <w:color w:val="000000"/>
          <w:sz w:val="24"/>
          <w:szCs w:val="24"/>
        </w:rPr>
        <w:t xml:space="preserve">： </w:t>
      </w:r>
      <w:r>
        <w:rPr>
          <w:rFonts w:hint="eastAsia" w:ascii="宋体" w:hAnsi="宋体" w:cs="宋体"/>
          <w:i/>
          <w:iCs/>
          <w:color w:val="000000"/>
          <w:sz w:val="24"/>
          <w:szCs w:val="24"/>
        </w:rPr>
        <w:t>（北京住房公积金管理中心）</w:t>
      </w:r>
    </w:p>
    <w:p w14:paraId="1CFEC1C0">
      <w:pPr>
        <w:snapToGrid w:val="0"/>
        <w:spacing w:line="480" w:lineRule="exact"/>
        <w:rPr>
          <w:rFonts w:ascii="宋体" w:hAnsi="宋体" w:cs="宋体"/>
          <w:color w:val="000000"/>
          <w:sz w:val="24"/>
          <w:szCs w:val="24"/>
        </w:rPr>
      </w:pPr>
      <w:r>
        <w:rPr>
          <w:rFonts w:hint="eastAsia" w:ascii="宋体" w:hAnsi="宋体" w:cs="宋体"/>
          <w:color w:val="000000"/>
          <w:sz w:val="24"/>
          <w:szCs w:val="24"/>
        </w:rPr>
        <w:t>贷款人</w:t>
      </w:r>
      <w:r>
        <w:rPr>
          <w:rFonts w:ascii="宋体" w:hAnsi="宋体" w:cs="宋体"/>
          <w:color w:val="000000"/>
          <w:sz w:val="24"/>
          <w:szCs w:val="24"/>
        </w:rPr>
        <w:t>（</w:t>
      </w:r>
      <w:r>
        <w:rPr>
          <w:rFonts w:hint="eastAsia" w:ascii="宋体" w:hAnsi="宋体" w:cs="宋体"/>
          <w:color w:val="000000"/>
          <w:sz w:val="24"/>
          <w:szCs w:val="24"/>
        </w:rPr>
        <w:t>丙方，</w:t>
      </w:r>
      <w:r>
        <w:rPr>
          <w:rFonts w:ascii="宋体" w:hAnsi="宋体" w:cs="宋体"/>
          <w:color w:val="000000"/>
          <w:sz w:val="24"/>
          <w:szCs w:val="24"/>
        </w:rPr>
        <w:t>受托人）</w:t>
      </w:r>
      <w:r>
        <w:rPr>
          <w:rFonts w:hint="eastAsia" w:ascii="宋体" w:hAnsi="宋体" w:cs="宋体"/>
          <w:color w:val="000000"/>
          <w:sz w:val="24"/>
          <w:szCs w:val="24"/>
        </w:rPr>
        <w:t>：</w:t>
      </w:r>
      <w:r>
        <w:rPr>
          <w:rFonts w:hint="eastAsia" w:ascii="宋体" w:hAnsi="宋体" w:cs="宋体"/>
          <w:i/>
          <w:iCs/>
          <w:color w:val="000000"/>
          <w:sz w:val="24"/>
          <w:szCs w:val="24"/>
        </w:rPr>
        <w:t>（受委托贷款经办银行）</w:t>
      </w:r>
    </w:p>
    <w:p w14:paraId="688DBD31">
      <w:pPr>
        <w:snapToGrid w:val="0"/>
        <w:spacing w:line="480" w:lineRule="exact"/>
        <w:rPr>
          <w:rFonts w:ascii="宋体" w:hAnsi="宋体" w:cs="宋体"/>
          <w:iCs/>
          <w:color w:val="000000"/>
          <w:sz w:val="24"/>
          <w:szCs w:val="24"/>
        </w:rPr>
      </w:pPr>
      <w:r>
        <w:rPr>
          <w:rFonts w:hint="eastAsia" w:ascii="宋体" w:hAnsi="宋体" w:cs="宋体"/>
          <w:color w:val="000000"/>
          <w:sz w:val="24"/>
          <w:szCs w:val="24"/>
        </w:rPr>
        <w:t>担保人</w:t>
      </w:r>
      <w:r>
        <w:rPr>
          <w:rFonts w:ascii="宋体" w:hAnsi="宋体" w:cs="宋体"/>
          <w:color w:val="000000"/>
          <w:sz w:val="24"/>
          <w:szCs w:val="24"/>
        </w:rPr>
        <w:t>（</w:t>
      </w:r>
      <w:r>
        <w:rPr>
          <w:rFonts w:hint="eastAsia" w:ascii="宋体" w:hAnsi="宋体" w:cs="宋体"/>
          <w:color w:val="000000"/>
          <w:sz w:val="24"/>
          <w:szCs w:val="24"/>
        </w:rPr>
        <w:t>丁方</w:t>
      </w:r>
      <w:r>
        <w:rPr>
          <w:rFonts w:ascii="宋体" w:hAnsi="宋体" w:cs="宋体"/>
          <w:color w:val="000000"/>
          <w:sz w:val="24"/>
          <w:szCs w:val="24"/>
        </w:rPr>
        <w:t>）</w:t>
      </w:r>
      <w:r>
        <w:rPr>
          <w:rFonts w:hint="eastAsia" w:ascii="宋体" w:hAnsi="宋体" w:cs="宋体"/>
          <w:color w:val="000000"/>
          <w:sz w:val="24"/>
          <w:szCs w:val="24"/>
        </w:rPr>
        <w:t>：</w:t>
      </w:r>
      <w:r>
        <w:rPr>
          <w:rFonts w:hint="eastAsia" w:ascii="宋体" w:hAnsi="宋体" w:cs="宋体"/>
          <w:iCs/>
          <w:color w:val="000000"/>
          <w:sz w:val="24"/>
          <w:szCs w:val="24"/>
        </w:rPr>
        <w:t>抵押人：</w:t>
      </w:r>
    </w:p>
    <w:p w14:paraId="44F7CA9C">
      <w:pPr>
        <w:snapToGrid w:val="0"/>
        <w:spacing w:line="480" w:lineRule="exact"/>
        <w:ind w:firstLine="1800" w:firstLineChars="750"/>
        <w:rPr>
          <w:rFonts w:ascii="宋体" w:hAnsi="宋体" w:cs="宋体"/>
          <w:color w:val="000000"/>
          <w:sz w:val="24"/>
          <w:szCs w:val="24"/>
        </w:rPr>
      </w:pPr>
      <w:r>
        <w:rPr>
          <w:rFonts w:hint="eastAsia" w:ascii="宋体" w:hAnsi="宋体" w:cs="宋体"/>
          <w:iCs/>
          <w:color w:val="000000"/>
          <w:sz w:val="24"/>
          <w:szCs w:val="24"/>
        </w:rPr>
        <w:t>保证人：</w:t>
      </w:r>
      <w:r>
        <w:rPr>
          <w:rFonts w:hint="eastAsia" w:ascii="宋体" w:hAnsi="宋体" w:cs="宋体"/>
          <w:i/>
          <w:iCs/>
          <w:color w:val="000000"/>
          <w:sz w:val="24"/>
          <w:szCs w:val="24"/>
        </w:rPr>
        <w:t>（售房人或北京市住房贷款担保中心）</w:t>
      </w:r>
    </w:p>
    <w:p w14:paraId="378DCD1F">
      <w:pPr>
        <w:snapToGrid w:val="0"/>
        <w:spacing w:line="480" w:lineRule="exact"/>
        <w:ind w:firstLine="495"/>
        <w:rPr>
          <w:rFonts w:ascii="宋体" w:hAnsi="宋体" w:cs="宋体"/>
          <w:color w:val="000000"/>
          <w:sz w:val="24"/>
          <w:szCs w:val="24"/>
        </w:rPr>
      </w:pPr>
    </w:p>
    <w:p w14:paraId="618C48A5">
      <w:pPr>
        <w:snapToGrid w:val="0"/>
        <w:spacing w:line="480" w:lineRule="exact"/>
        <w:ind w:firstLine="495"/>
        <w:rPr>
          <w:rFonts w:ascii="宋体" w:hAnsi="宋体" w:cs="宋体"/>
          <w:color w:val="000000"/>
          <w:sz w:val="24"/>
          <w:szCs w:val="24"/>
        </w:rPr>
      </w:pPr>
      <w:r>
        <w:rPr>
          <w:rFonts w:hint="eastAsia" w:ascii="宋体" w:hAnsi="宋体" w:cs="宋体"/>
          <w:color w:val="000000"/>
          <w:sz w:val="24"/>
          <w:szCs w:val="24"/>
        </w:rPr>
        <w:t>甲方因购买住房，向乙方申请借款，乙方委托丙方向甲方发放住房公积金个人住房贷款，丁方为甲方借款提供担保</w:t>
      </w:r>
      <w:r>
        <w:rPr>
          <w:rFonts w:ascii="宋体" w:hAnsi="宋体" w:cs="宋体"/>
          <w:color w:val="000000"/>
          <w:sz w:val="24"/>
          <w:szCs w:val="24"/>
        </w:rPr>
        <w:t>，</w:t>
      </w:r>
      <w:r>
        <w:rPr>
          <w:rFonts w:hint="eastAsia" w:ascii="宋体" w:hAnsi="宋体" w:cs="宋体"/>
          <w:color w:val="000000"/>
          <w:sz w:val="24"/>
          <w:szCs w:val="24"/>
        </w:rPr>
        <w:t>为明确合同各方的权利和义务，经甲、乙、丙、丁各方协商一致，签订本合同，本合同编号为：</w:t>
      </w:r>
      <w:r>
        <w:rPr>
          <w:rFonts w:hint="eastAsia" w:ascii="宋体" w:hAnsi="宋体" w:cs="宋体"/>
          <w:color w:val="000000"/>
          <w:sz w:val="24"/>
          <w:szCs w:val="24"/>
          <w:u w:val="single"/>
        </w:rPr>
        <w:t xml:space="preserve">                   </w:t>
      </w:r>
      <w:r>
        <w:rPr>
          <w:rFonts w:hint="eastAsia" w:ascii="宋体" w:hAnsi="宋体" w:cs="宋体"/>
          <w:color w:val="000000"/>
          <w:sz w:val="24"/>
          <w:szCs w:val="24"/>
        </w:rPr>
        <w:t>。</w:t>
      </w:r>
    </w:p>
    <w:p w14:paraId="0E66E021">
      <w:pPr>
        <w:snapToGrid w:val="0"/>
        <w:spacing w:line="480" w:lineRule="exact"/>
        <w:ind w:firstLine="495"/>
        <w:rPr>
          <w:rFonts w:ascii="宋体" w:hAnsi="宋体" w:cs="宋体"/>
          <w:color w:val="000000"/>
          <w:sz w:val="24"/>
          <w:szCs w:val="24"/>
        </w:rPr>
      </w:pPr>
    </w:p>
    <w:p w14:paraId="37BD5369">
      <w:pPr>
        <w:snapToGrid w:val="0"/>
        <w:spacing w:line="480" w:lineRule="exact"/>
        <w:jc w:val="center"/>
        <w:rPr>
          <w:rFonts w:ascii="宋体" w:hAnsi="宋体" w:cs="宋体"/>
          <w:b/>
          <w:bCs/>
          <w:color w:val="000000"/>
          <w:sz w:val="24"/>
          <w:szCs w:val="24"/>
        </w:rPr>
      </w:pPr>
      <w:r>
        <w:rPr>
          <w:rFonts w:hint="eastAsia" w:ascii="宋体" w:hAnsi="宋体" w:cs="宋体"/>
          <w:b/>
          <w:bCs/>
          <w:color w:val="000000"/>
          <w:sz w:val="24"/>
          <w:szCs w:val="24"/>
        </w:rPr>
        <w:t>第一章  住　房　借　款</w:t>
      </w:r>
    </w:p>
    <w:p w14:paraId="353009D4">
      <w:pPr>
        <w:snapToGrid w:val="0"/>
        <w:spacing w:line="480" w:lineRule="exact"/>
        <w:rPr>
          <w:rFonts w:ascii="宋体" w:hAnsi="宋体" w:cs="宋体"/>
          <w:b/>
          <w:color w:val="000000"/>
          <w:sz w:val="24"/>
          <w:szCs w:val="24"/>
        </w:rPr>
      </w:pPr>
      <w:r>
        <w:rPr>
          <w:rFonts w:hint="eastAsia" w:ascii="宋体" w:hAnsi="宋体" w:cs="宋体"/>
          <w:color w:val="000000"/>
          <w:sz w:val="24"/>
          <w:szCs w:val="24"/>
        </w:rPr>
        <w:t xml:space="preserve">    第一条　甲方向售房人</w:t>
      </w:r>
      <w:r>
        <w:rPr>
          <w:rFonts w:hint="eastAsia" w:ascii="宋体" w:hAnsi="宋体" w:cs="宋体"/>
          <w:color w:val="000000"/>
          <w:sz w:val="24"/>
          <w:szCs w:val="24"/>
          <w:u w:val="single"/>
        </w:rPr>
        <w:t xml:space="preserve">                                            </w:t>
      </w:r>
      <w:r>
        <w:rPr>
          <w:rFonts w:hint="eastAsia" w:ascii="宋体" w:hAnsi="宋体" w:cs="宋体"/>
          <w:color w:val="000000"/>
          <w:sz w:val="24"/>
          <w:szCs w:val="24"/>
        </w:rPr>
        <w:t xml:space="preserve">                                                                                 </w:t>
      </w:r>
    </w:p>
    <w:p w14:paraId="48953D97">
      <w:pPr>
        <w:snapToGrid w:val="0"/>
        <w:spacing w:line="480" w:lineRule="exact"/>
        <w:ind w:right="-1"/>
        <w:rPr>
          <w:rFonts w:ascii="宋体" w:hAnsi="宋体" w:cs="宋体"/>
          <w:color w:val="000000"/>
          <w:sz w:val="24"/>
          <w:szCs w:val="24"/>
          <w:u w:val="single"/>
        </w:rPr>
      </w:pPr>
      <w:r>
        <w:rPr>
          <w:rFonts w:hint="eastAsia" w:ascii="宋体" w:hAnsi="宋体" w:cs="宋体"/>
          <w:color w:val="000000"/>
          <w:sz w:val="24"/>
          <w:szCs w:val="24"/>
        </w:rPr>
        <w:t>购买坐落于北京市</w:t>
      </w:r>
      <w:r>
        <w:rPr>
          <w:rFonts w:hint="eastAsia" w:ascii="宋体" w:hAnsi="宋体" w:cs="宋体"/>
          <w:color w:val="000000"/>
          <w:sz w:val="24"/>
          <w:szCs w:val="24"/>
          <w:u w:val="single"/>
        </w:rPr>
        <w:t xml:space="preserve">                                                      </w:t>
      </w:r>
    </w:p>
    <w:p w14:paraId="09EB3137">
      <w:pPr>
        <w:snapToGrid w:val="0"/>
        <w:spacing w:line="480" w:lineRule="exact"/>
        <w:rPr>
          <w:rFonts w:ascii="宋体" w:hAnsi="宋体" w:cs="宋体"/>
          <w:color w:val="000000"/>
          <w:sz w:val="24"/>
          <w:szCs w:val="24"/>
        </w:rPr>
      </w:pPr>
      <w:r>
        <w:rPr>
          <w:rFonts w:hint="eastAsia" w:ascii="宋体" w:hAnsi="宋体" w:cs="宋体"/>
          <w:color w:val="000000"/>
          <w:sz w:val="24"/>
          <w:szCs w:val="24"/>
          <w:u w:val="single"/>
        </w:rPr>
        <w:t xml:space="preserve">                             </w:t>
      </w:r>
      <w:r>
        <w:rPr>
          <w:rFonts w:hint="eastAsia" w:ascii="宋体" w:hAnsi="宋体" w:cs="宋体"/>
          <w:color w:val="000000"/>
          <w:sz w:val="24"/>
          <w:szCs w:val="24"/>
        </w:rPr>
        <w:t>，建筑面积为</w:t>
      </w:r>
      <w:r>
        <w:rPr>
          <w:rFonts w:hint="eastAsia" w:ascii="宋体" w:hAnsi="宋体" w:cs="宋体"/>
          <w:color w:val="000000"/>
          <w:sz w:val="24"/>
          <w:szCs w:val="24"/>
          <w:u w:val="single"/>
        </w:rPr>
        <w:t xml:space="preserve">               </w:t>
      </w:r>
      <w:r>
        <w:rPr>
          <w:rFonts w:hint="eastAsia" w:ascii="宋体" w:hAnsi="宋体" w:cs="宋体"/>
          <w:color w:val="000000"/>
          <w:sz w:val="24"/>
          <w:szCs w:val="24"/>
        </w:rPr>
        <w:t>平方米的住房，向乙方申请借款，并同意将此套住房作为本合同项下借款的抵押物。</w:t>
      </w:r>
    </w:p>
    <w:p w14:paraId="42AB1C13">
      <w:pPr>
        <w:snapToGrid w:val="0"/>
        <w:spacing w:line="480" w:lineRule="exact"/>
        <w:ind w:firstLine="465"/>
        <w:rPr>
          <w:rFonts w:ascii="宋体" w:hAnsi="宋体" w:cs="宋体"/>
          <w:color w:val="000000"/>
          <w:sz w:val="24"/>
          <w:szCs w:val="24"/>
        </w:rPr>
      </w:pPr>
      <w:r>
        <w:rPr>
          <w:rFonts w:hint="eastAsia" w:ascii="宋体" w:hAnsi="宋体" w:cs="宋体"/>
          <w:color w:val="000000"/>
          <w:sz w:val="24"/>
          <w:szCs w:val="24"/>
        </w:rPr>
        <w:t>第二条  本合同项下借款数额为人民币（大写）</w:t>
      </w:r>
      <w:r>
        <w:rPr>
          <w:rFonts w:hint="eastAsia" w:ascii="宋体" w:hAnsi="宋体" w:cs="宋体"/>
          <w:color w:val="000000"/>
          <w:sz w:val="24"/>
          <w:szCs w:val="24"/>
          <w:u w:val="single"/>
        </w:rPr>
        <w:t xml:space="preserve">                      </w:t>
      </w:r>
      <w:r>
        <w:rPr>
          <w:rFonts w:hint="eastAsia" w:ascii="宋体" w:hAnsi="宋体" w:cs="宋体"/>
          <w:color w:val="000000"/>
          <w:sz w:val="24"/>
          <w:szCs w:val="24"/>
        </w:rPr>
        <w:t>，（小写）</w:t>
      </w:r>
      <w:r>
        <w:rPr>
          <w:rFonts w:hint="eastAsia" w:ascii="宋体" w:hAnsi="宋体" w:cs="宋体"/>
          <w:color w:val="000000"/>
          <w:sz w:val="24"/>
          <w:szCs w:val="24"/>
          <w:u w:val="single"/>
        </w:rPr>
        <w:t xml:space="preserve">               </w:t>
      </w:r>
      <w:r>
        <w:rPr>
          <w:rFonts w:hint="eastAsia" w:ascii="宋体" w:hAnsi="宋体" w:cs="宋体"/>
          <w:color w:val="000000"/>
          <w:sz w:val="24"/>
          <w:szCs w:val="24"/>
        </w:rPr>
        <w:t>元。本合同经各方签署，且符合乙方规定的借款发放条件后，丙方将借款划付账户名称为</w:t>
      </w:r>
      <w:r>
        <w:rPr>
          <w:rFonts w:hint="eastAsia" w:ascii="宋体" w:hAnsi="宋体" w:cs="宋体"/>
          <w:color w:val="000000"/>
          <w:sz w:val="24"/>
          <w:szCs w:val="24"/>
          <w:u w:val="single"/>
        </w:rPr>
        <w:t xml:space="preserve">                                       </w:t>
      </w:r>
      <w:r>
        <w:rPr>
          <w:rFonts w:hint="eastAsia" w:ascii="宋体" w:hAnsi="宋体" w:cs="宋体"/>
          <w:color w:val="000000"/>
          <w:sz w:val="24"/>
          <w:szCs w:val="24"/>
        </w:rPr>
        <w:t>，</w:t>
      </w:r>
      <w:r>
        <w:rPr>
          <w:rFonts w:ascii="宋体" w:hAnsi="宋体" w:cs="宋体"/>
          <w:color w:val="000000"/>
          <w:sz w:val="24"/>
          <w:szCs w:val="24"/>
        </w:rPr>
        <w:t>开户</w:t>
      </w:r>
      <w:r>
        <w:rPr>
          <w:rFonts w:hint="eastAsia" w:ascii="宋体" w:hAnsi="宋体" w:cs="宋体"/>
          <w:color w:val="000000"/>
          <w:sz w:val="24"/>
          <w:szCs w:val="24"/>
        </w:rPr>
        <w:t>银行为</w:t>
      </w:r>
      <w:r>
        <w:rPr>
          <w:rFonts w:hint="eastAsia" w:ascii="宋体" w:hAnsi="宋体" w:cs="宋体"/>
          <w:color w:val="000000"/>
          <w:sz w:val="24"/>
          <w:szCs w:val="24"/>
          <w:u w:val="single"/>
        </w:rPr>
        <w:t xml:space="preserve">                       </w:t>
      </w:r>
      <w:r>
        <w:rPr>
          <w:rFonts w:hint="eastAsia" w:ascii="宋体" w:hAnsi="宋体" w:cs="宋体"/>
          <w:color w:val="000000"/>
          <w:sz w:val="24"/>
          <w:szCs w:val="24"/>
        </w:rPr>
        <w:t>银行账号为</w:t>
      </w:r>
      <w:r>
        <w:rPr>
          <w:rFonts w:hint="eastAsia" w:ascii="宋体" w:hAnsi="宋体" w:cs="宋体"/>
          <w:color w:val="000000"/>
          <w:sz w:val="24"/>
          <w:szCs w:val="24"/>
          <w:u w:val="single"/>
        </w:rPr>
        <w:t xml:space="preserve">                   </w:t>
      </w:r>
      <w:r>
        <w:rPr>
          <w:rFonts w:hint="eastAsia" w:ascii="宋体" w:hAnsi="宋体" w:cs="宋体"/>
          <w:color w:val="000000"/>
          <w:sz w:val="24"/>
          <w:szCs w:val="24"/>
        </w:rPr>
        <w:t>的账户，即为甲方收到了借款。</w:t>
      </w:r>
    </w:p>
    <w:p w14:paraId="684778F6">
      <w:pPr>
        <w:snapToGrid w:val="0"/>
        <w:spacing w:line="480" w:lineRule="exact"/>
        <w:ind w:firstLine="480"/>
        <w:rPr>
          <w:rFonts w:ascii="宋体" w:hAnsi="宋体" w:cs="宋体"/>
          <w:color w:val="000000"/>
          <w:sz w:val="24"/>
          <w:szCs w:val="24"/>
        </w:rPr>
      </w:pPr>
      <w:r>
        <w:rPr>
          <w:rFonts w:hint="eastAsia" w:ascii="宋体" w:hAnsi="宋体" w:cs="宋体"/>
          <w:color w:val="000000"/>
          <w:sz w:val="24"/>
          <w:szCs w:val="24"/>
        </w:rPr>
        <w:t>第三条  本合同自借款划付日当日起息，执行</w:t>
      </w:r>
      <w:r>
        <w:rPr>
          <w:rFonts w:hint="eastAsia" w:ascii="宋体" w:hAnsi="宋体" w:cs="宋体"/>
          <w:i/>
          <w:color w:val="000000"/>
          <w:sz w:val="24"/>
          <w:szCs w:val="24"/>
          <w:u w:val="single"/>
        </w:rPr>
        <w:t>（首</w:t>
      </w:r>
      <w:r>
        <w:rPr>
          <w:rFonts w:hint="eastAsia" w:ascii="宋体" w:hAnsi="宋体" w:cs="宋体"/>
          <w:b/>
          <w:i/>
          <w:color w:val="000000"/>
          <w:sz w:val="24"/>
          <w:szCs w:val="24"/>
          <w:u w:val="single"/>
        </w:rPr>
        <w:t>/</w:t>
      </w:r>
      <w:r>
        <w:rPr>
          <w:rFonts w:hint="eastAsia" w:ascii="宋体" w:hAnsi="宋体" w:cs="宋体"/>
          <w:i/>
          <w:color w:val="000000"/>
          <w:sz w:val="24"/>
          <w:szCs w:val="24"/>
          <w:u w:val="single"/>
        </w:rPr>
        <w:t>二）</w:t>
      </w:r>
      <w:r>
        <w:rPr>
          <w:rFonts w:hint="eastAsia" w:ascii="宋体" w:hAnsi="宋体" w:cs="宋体"/>
          <w:color w:val="000000"/>
          <w:sz w:val="24"/>
          <w:szCs w:val="24"/>
        </w:rPr>
        <w:t>套住房贷款利率，以借款划付日当日中国人民银行公布的住房公积金个人住房贷款利率计息。</w:t>
      </w:r>
      <w:r>
        <w:rPr>
          <w:rFonts w:hint="eastAsia" w:ascii="宋体" w:hAnsi="宋体" w:cs="宋体"/>
          <w:b/>
          <w:color w:val="000000"/>
          <w:sz w:val="24"/>
          <w:szCs w:val="24"/>
        </w:rPr>
        <w:t>如遇贷款利率调整，按调整后的利率及有关规定执行，不再另行通知合同各方。</w:t>
      </w:r>
    </w:p>
    <w:p w14:paraId="642B0682">
      <w:pPr>
        <w:snapToGrid w:val="0"/>
        <w:spacing w:line="480" w:lineRule="exact"/>
        <w:ind w:firstLine="495"/>
        <w:rPr>
          <w:rFonts w:ascii="宋体" w:hAnsi="宋体" w:cs="宋体"/>
          <w:color w:val="000000"/>
          <w:sz w:val="24"/>
          <w:szCs w:val="24"/>
        </w:rPr>
      </w:pPr>
      <w:r>
        <w:rPr>
          <w:rFonts w:hint="eastAsia" w:ascii="宋体" w:hAnsi="宋体" w:cs="宋体"/>
          <w:color w:val="000000"/>
          <w:sz w:val="24"/>
          <w:szCs w:val="24"/>
        </w:rPr>
        <w:t>第四条  借款期限为</w:t>
      </w:r>
      <w:r>
        <w:rPr>
          <w:rFonts w:hint="eastAsia" w:ascii="宋体" w:hAnsi="宋体" w:cs="宋体"/>
          <w:color w:val="000000"/>
          <w:sz w:val="24"/>
          <w:szCs w:val="24"/>
          <w:u w:val="single"/>
        </w:rPr>
        <w:t xml:space="preserve">       </w:t>
      </w:r>
      <w:r>
        <w:rPr>
          <w:rFonts w:hint="eastAsia" w:ascii="宋体" w:hAnsi="宋体" w:cs="宋体"/>
          <w:color w:val="000000"/>
          <w:sz w:val="24"/>
          <w:szCs w:val="24"/>
        </w:rPr>
        <w:t>年，共计</w:t>
      </w:r>
      <w:r>
        <w:rPr>
          <w:rFonts w:hint="eastAsia" w:ascii="宋体" w:hAnsi="宋体" w:cs="宋体"/>
          <w:color w:val="000000"/>
          <w:sz w:val="24"/>
          <w:szCs w:val="24"/>
          <w:u w:val="single"/>
        </w:rPr>
        <w:t xml:space="preserve">        </w:t>
      </w:r>
      <w:r>
        <w:rPr>
          <w:rFonts w:hint="eastAsia" w:ascii="宋体" w:hAnsi="宋体" w:cs="宋体"/>
          <w:color w:val="000000"/>
          <w:sz w:val="24"/>
          <w:szCs w:val="24"/>
        </w:rPr>
        <w:t>月，自本合同项下借款实际划付日当日开始计算，</w:t>
      </w:r>
      <w:r>
        <w:rPr>
          <w:rFonts w:ascii="宋体" w:hAnsi="宋体" w:cs="宋体"/>
          <w:sz w:val="24"/>
          <w:szCs w:val="24"/>
        </w:rPr>
        <w:t>借款</w:t>
      </w:r>
      <w:r>
        <w:rPr>
          <w:rFonts w:hint="eastAsia" w:ascii="宋体" w:hAnsi="宋体" w:cs="宋体"/>
          <w:sz w:val="24"/>
          <w:szCs w:val="24"/>
        </w:rPr>
        <w:t>划付</w:t>
      </w:r>
      <w:r>
        <w:rPr>
          <w:rFonts w:ascii="宋体" w:hAnsi="宋体" w:cs="宋体"/>
          <w:sz w:val="24"/>
          <w:szCs w:val="24"/>
        </w:rPr>
        <w:t>日期以乙方</w:t>
      </w:r>
      <w:r>
        <w:rPr>
          <w:rFonts w:hint="eastAsia" w:ascii="宋体" w:hAnsi="宋体" w:cs="宋体"/>
          <w:sz w:val="24"/>
          <w:szCs w:val="24"/>
        </w:rPr>
        <w:t>记录的还款明细为准。</w:t>
      </w:r>
    </w:p>
    <w:p w14:paraId="16CEB68D">
      <w:pPr>
        <w:snapToGrid w:val="0"/>
        <w:spacing w:line="480" w:lineRule="exact"/>
        <w:ind w:firstLine="480"/>
        <w:rPr>
          <w:rFonts w:ascii="宋体" w:hAnsi="宋体" w:cs="宋体"/>
          <w:color w:val="000000"/>
          <w:sz w:val="24"/>
          <w:szCs w:val="24"/>
        </w:rPr>
      </w:pPr>
      <w:r>
        <w:rPr>
          <w:rFonts w:hint="eastAsia" w:ascii="宋体" w:hAnsi="宋体" w:cs="宋体"/>
          <w:color w:val="000000"/>
          <w:sz w:val="24"/>
          <w:szCs w:val="24"/>
        </w:rPr>
        <w:t>第五条　借款用途仅限于甲方购买本合同第一条所载住房，不得挪作他用，不得改变用途，乙方和丙方均有权监督借款的使用。</w:t>
      </w:r>
    </w:p>
    <w:p w14:paraId="3AA79CA2">
      <w:pPr>
        <w:snapToGrid w:val="0"/>
        <w:spacing w:line="480" w:lineRule="exact"/>
        <w:ind w:firstLine="494" w:firstLineChars="206"/>
        <w:rPr>
          <w:rFonts w:ascii="宋体" w:hAnsi="宋体" w:cs="宋体"/>
          <w:color w:val="000000"/>
          <w:sz w:val="24"/>
          <w:szCs w:val="24"/>
        </w:rPr>
      </w:pPr>
      <w:r>
        <w:rPr>
          <w:rFonts w:hint="eastAsia" w:ascii="宋体" w:hAnsi="宋体" w:cs="宋体"/>
          <w:color w:val="000000"/>
          <w:sz w:val="24"/>
          <w:szCs w:val="24"/>
        </w:rPr>
        <w:t>第六条  本合同项下借款的担保方式为</w:t>
      </w:r>
      <w:r>
        <w:rPr>
          <w:rFonts w:hint="eastAsia" w:ascii="宋体" w:hAnsi="宋体" w:cs="宋体"/>
          <w:color w:val="000000"/>
          <w:sz w:val="24"/>
          <w:szCs w:val="24"/>
          <w:u w:val="single"/>
        </w:rPr>
        <w:t xml:space="preserve">  </w:t>
      </w:r>
      <w:r>
        <w:rPr>
          <w:rFonts w:hint="eastAsia" w:ascii="宋体" w:hAnsi="宋体" w:cs="宋体"/>
          <w:i/>
          <w:color w:val="000000"/>
          <w:sz w:val="24"/>
          <w:szCs w:val="24"/>
          <w:u w:val="single"/>
        </w:rPr>
        <w:t xml:space="preserve">抵押 </w:t>
      </w:r>
      <w:r>
        <w:rPr>
          <w:rFonts w:hint="eastAsia" w:ascii="宋体" w:hAnsi="宋体" w:cs="宋体"/>
          <w:b/>
          <w:i/>
          <w:color w:val="000000"/>
          <w:sz w:val="24"/>
          <w:szCs w:val="24"/>
          <w:u w:val="single"/>
        </w:rPr>
        <w:t>/</w:t>
      </w:r>
      <w:r>
        <w:rPr>
          <w:rFonts w:ascii="宋体" w:hAnsi="宋体" w:cs="宋体"/>
          <w:i/>
          <w:color w:val="000000"/>
          <w:sz w:val="24"/>
          <w:szCs w:val="24"/>
          <w:u w:val="single"/>
        </w:rPr>
        <w:t xml:space="preserve"> </w:t>
      </w:r>
      <w:r>
        <w:rPr>
          <w:rFonts w:hint="eastAsia" w:ascii="宋体" w:hAnsi="宋体" w:cs="宋体"/>
          <w:i/>
          <w:color w:val="000000"/>
          <w:sz w:val="24"/>
          <w:szCs w:val="24"/>
          <w:u w:val="single"/>
        </w:rPr>
        <w:t>抵押加阶段性连带责任保证</w:t>
      </w:r>
      <w:r>
        <w:rPr>
          <w:rFonts w:hint="eastAsia" w:ascii="宋体" w:hAnsi="宋体" w:cs="宋体"/>
          <w:color w:val="000000"/>
          <w:sz w:val="24"/>
          <w:szCs w:val="24"/>
          <w:u w:val="single"/>
        </w:rPr>
        <w:t xml:space="preserve">  </w:t>
      </w:r>
      <w:r>
        <w:rPr>
          <w:rFonts w:hint="eastAsia" w:ascii="宋体" w:hAnsi="宋体" w:cs="宋体"/>
          <w:color w:val="000000"/>
          <w:sz w:val="24"/>
          <w:szCs w:val="24"/>
        </w:rPr>
        <w:t>，具体条款见本合同</w:t>
      </w:r>
      <w:r>
        <w:rPr>
          <w:rFonts w:hint="eastAsia" w:ascii="宋体" w:hAnsi="宋体" w:cs="宋体"/>
          <w:color w:val="000000"/>
          <w:sz w:val="24"/>
          <w:szCs w:val="24"/>
          <w:u w:val="single"/>
        </w:rPr>
        <w:t xml:space="preserve">  </w:t>
      </w:r>
      <w:r>
        <w:rPr>
          <w:rFonts w:hint="eastAsia" w:ascii="宋体" w:hAnsi="宋体" w:cs="宋体"/>
          <w:i/>
          <w:color w:val="000000"/>
          <w:sz w:val="24"/>
          <w:szCs w:val="24"/>
          <w:u w:val="single"/>
        </w:rPr>
        <w:t xml:space="preserve">第三章 </w:t>
      </w:r>
      <w:r>
        <w:rPr>
          <w:rFonts w:hint="eastAsia" w:ascii="宋体" w:hAnsi="宋体" w:cs="宋体"/>
          <w:b/>
          <w:i/>
          <w:color w:val="000000"/>
          <w:sz w:val="24"/>
          <w:szCs w:val="24"/>
          <w:u w:val="single"/>
        </w:rPr>
        <w:t>/</w:t>
      </w:r>
      <w:r>
        <w:rPr>
          <w:rFonts w:ascii="宋体" w:hAnsi="宋体" w:cs="宋体"/>
          <w:b/>
          <w:i/>
          <w:color w:val="000000"/>
          <w:sz w:val="24"/>
          <w:szCs w:val="24"/>
          <w:u w:val="single"/>
        </w:rPr>
        <w:t xml:space="preserve"> </w:t>
      </w:r>
      <w:r>
        <w:rPr>
          <w:rFonts w:hint="eastAsia" w:ascii="宋体" w:hAnsi="宋体" w:cs="宋体"/>
          <w:i/>
          <w:color w:val="000000"/>
          <w:sz w:val="24"/>
          <w:szCs w:val="24"/>
          <w:u w:val="single"/>
        </w:rPr>
        <w:t>第三章和第四章</w:t>
      </w:r>
      <w:r>
        <w:rPr>
          <w:rFonts w:hint="eastAsia" w:ascii="宋体" w:hAnsi="宋体" w:cs="宋体"/>
          <w:color w:val="000000"/>
          <w:sz w:val="24"/>
          <w:szCs w:val="24"/>
          <w:u w:val="single"/>
        </w:rPr>
        <w:t xml:space="preserve">  </w:t>
      </w:r>
      <w:r>
        <w:rPr>
          <w:rFonts w:hint="eastAsia" w:ascii="宋体" w:hAnsi="宋体" w:cs="宋体"/>
          <w:color w:val="000000"/>
          <w:sz w:val="24"/>
          <w:szCs w:val="24"/>
        </w:rPr>
        <w:t>。</w:t>
      </w:r>
    </w:p>
    <w:p w14:paraId="4405BAE0">
      <w:pPr>
        <w:snapToGrid w:val="0"/>
        <w:spacing w:line="480" w:lineRule="exact"/>
        <w:ind w:firstLine="480"/>
        <w:rPr>
          <w:rFonts w:ascii="宋体" w:hAnsi="宋体" w:cs="宋体"/>
          <w:color w:val="000000"/>
          <w:sz w:val="24"/>
          <w:szCs w:val="24"/>
        </w:rPr>
      </w:pPr>
      <w:r>
        <w:rPr>
          <w:rFonts w:hint="eastAsia" w:ascii="宋体" w:hAnsi="宋体" w:cs="宋体"/>
          <w:color w:val="000000"/>
          <w:sz w:val="24"/>
          <w:szCs w:val="24"/>
        </w:rPr>
        <w:t>第七条  甲方购买本合同第一条所述住房，除向乙方申请借款，同时向丙方申请借款的，称为组合贷款。组合贷款中，甲方申请住房公积金个人住房贷款适用于本合同，甲方申请住房商业贷款由甲方与丙方及其他相关方另行约定。</w:t>
      </w:r>
    </w:p>
    <w:p w14:paraId="738EC0E9">
      <w:pPr>
        <w:snapToGrid w:val="0"/>
        <w:spacing w:line="480" w:lineRule="exact"/>
        <w:ind w:firstLine="480"/>
        <w:rPr>
          <w:rFonts w:ascii="宋体" w:hAnsi="宋体" w:cs="宋体"/>
          <w:sz w:val="24"/>
          <w:szCs w:val="24"/>
        </w:rPr>
      </w:pPr>
      <w:r>
        <w:rPr>
          <w:rFonts w:ascii="Times New Roman" w:hAnsi="Times New Roman"/>
          <w:szCs w:val="24"/>
        </w:rPr>
        <mc:AlternateContent>
          <mc:Choice Requires="wps">
            <w:drawing>
              <wp:anchor distT="0" distB="0" distL="114300" distR="114300" simplePos="0" relativeHeight="251661312" behindDoc="0" locked="0" layoutInCell="1" allowOverlap="1">
                <wp:simplePos x="0" y="0"/>
                <wp:positionH relativeFrom="column">
                  <wp:posOffset>2654300</wp:posOffset>
                </wp:positionH>
                <wp:positionV relativeFrom="paragraph">
                  <wp:posOffset>694055</wp:posOffset>
                </wp:positionV>
                <wp:extent cx="1164590" cy="103505"/>
                <wp:effectExtent l="0" t="0" r="35560" b="29845"/>
                <wp:wrapNone/>
                <wp:docPr id="7" name="直接箭头连接符 7"/>
                <wp:cNvGraphicFramePr/>
                <a:graphic xmlns:a="http://schemas.openxmlformats.org/drawingml/2006/main">
                  <a:graphicData uri="http://schemas.microsoft.com/office/word/2010/wordprocessingShape">
                    <wps:wsp>
                      <wps:cNvCnPr>
                        <a:cxnSpLocks noChangeShapeType="1"/>
                      </wps:cNvCnPr>
                      <wps:spPr bwMode="auto">
                        <a:xfrm flipV="1">
                          <a:off x="0" y="0"/>
                          <a:ext cx="1164590" cy="103505"/>
                        </a:xfrm>
                        <a:prstGeom prst="straightConnector1">
                          <a:avLst/>
                        </a:prstGeom>
                        <a:noFill/>
                        <a:ln w="9525">
                          <a:solidFill>
                            <a:srgbClr val="000000"/>
                          </a:solidFill>
                          <a:round/>
                        </a:ln>
                      </wps:spPr>
                      <wps:bodyPr/>
                    </wps:wsp>
                  </a:graphicData>
                </a:graphic>
              </wp:anchor>
            </w:drawing>
          </mc:Choice>
          <mc:Fallback>
            <w:pict>
              <v:shape id="_x0000_s1026" o:spid="_x0000_s1026" o:spt="32" type="#_x0000_t32" style="position:absolute;left:0pt;flip:y;margin-left:209pt;margin-top:54.65pt;height:8.15pt;width:91.7pt;z-index:251661312;mso-width-relative:page;mso-height-relative:page;" filled="f" stroked="t" coordsize="21600,21600" o:gfxdata="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I+1hk3YAAAACwEAAA8AAAAAAAAAAQAgAAAAIgAAAGRycy9kb3du&#10;cmV2LnhtbFBLAQIUABQAAAAIAIdO4kBnbzAh/wEAAM0DAAAOAAAAAAAAAAEAIAAAACcBAABkcnMv&#10;ZTJvRG9jLnhtbFBLBQYAAAAABgAGAFkBAACYBQAAAAA=&#10;">
                <v:fill on="f" focussize="0,0"/>
                <v:stroke color="#000000" joinstyle="round"/>
                <v:imagedata o:title=""/>
                <o:lock v:ext="edit" aspectratio="f"/>
              </v:shape>
            </w:pict>
          </mc:Fallback>
        </mc:AlternateContent>
      </w:r>
      <w:r>
        <w:rPr>
          <w:rFonts w:ascii="Times New Roman" w:hAnsi="Times New Roman"/>
          <w:szCs w:val="24"/>
        </w:rPr>
        <mc:AlternateContent>
          <mc:Choice Requires="wps">
            <w:drawing>
              <wp:anchor distT="0" distB="0" distL="114300" distR="114300" simplePos="0" relativeHeight="251660288" behindDoc="0" locked="0" layoutInCell="1" allowOverlap="1">
                <wp:simplePos x="0" y="0"/>
                <wp:positionH relativeFrom="column">
                  <wp:posOffset>291465</wp:posOffset>
                </wp:positionH>
                <wp:positionV relativeFrom="paragraph">
                  <wp:posOffset>724535</wp:posOffset>
                </wp:positionV>
                <wp:extent cx="1641475" cy="103505"/>
                <wp:effectExtent l="0" t="0" r="34925" b="29845"/>
                <wp:wrapNone/>
                <wp:docPr id="6" name="直接箭头连接符 6"/>
                <wp:cNvGraphicFramePr/>
                <a:graphic xmlns:a="http://schemas.openxmlformats.org/drawingml/2006/main">
                  <a:graphicData uri="http://schemas.microsoft.com/office/word/2010/wordprocessingShape">
                    <wps:wsp>
                      <wps:cNvCnPr>
                        <a:cxnSpLocks noChangeShapeType="1"/>
                      </wps:cNvCnPr>
                      <wps:spPr bwMode="auto">
                        <a:xfrm flipV="1">
                          <a:off x="0" y="0"/>
                          <a:ext cx="1641475" cy="103505"/>
                        </a:xfrm>
                        <a:prstGeom prst="straightConnector1">
                          <a:avLst/>
                        </a:prstGeom>
                        <a:noFill/>
                        <a:ln w="9525">
                          <a:solidFill>
                            <a:srgbClr val="000000"/>
                          </a:solidFill>
                          <a:round/>
                        </a:ln>
                      </wps:spPr>
                      <wps:bodyPr/>
                    </wps:wsp>
                  </a:graphicData>
                </a:graphic>
              </wp:anchor>
            </w:drawing>
          </mc:Choice>
          <mc:Fallback>
            <w:pict>
              <v:shape id="_x0000_s1026" o:spid="_x0000_s1026" o:spt="32" type="#_x0000_t32" style="position:absolute;left:0pt;flip:y;margin-left:22.95pt;margin-top:57.05pt;height:8.15pt;width:129.25pt;z-index:251660288;mso-width-relative:page;mso-height-relative:page;" filled="f" stroked="t" coordsize="21600,21600" o:gfxdata="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sblvRdcAAAAKAQAADwAAAAAAAAABACAAAAAiAAAAZHJzL2Rvd25y&#10;ZXYueG1sUEsBAhQAFAAAAAgAh07iQHieNF7/AQAAzQMAAA4AAAAAAAAAAQAgAAAAJgEAAGRycy9l&#10;Mm9Eb2MueG1sUEsFBgAAAAAGAAYAWQEAAJcFAAAAAA==&#10;">
                <v:fill on="f" focussize="0,0"/>
                <v:stroke color="#000000" joinstyle="round"/>
                <v:imagedata o:title=""/>
                <o:lock v:ext="edit" aspectratio="f"/>
              </v:shape>
            </w:pict>
          </mc:Fallback>
        </mc:AlternateContent>
      </w:r>
      <w:r>
        <w:rPr>
          <w:rFonts w:hint="eastAsia" w:ascii="宋体" w:hAnsi="宋体" w:cs="宋体"/>
          <w:b/>
          <w:bCs/>
          <w:sz w:val="28"/>
          <w:szCs w:val="28"/>
        </w:rPr>
        <w:t>_____</w:t>
      </w:r>
      <w:r>
        <w:rPr>
          <w:rFonts w:hint="eastAsia" w:ascii="宋体" w:hAnsi="宋体" w:cs="宋体"/>
          <w:sz w:val="24"/>
          <w:szCs w:val="24"/>
        </w:rPr>
        <w:t xml:space="preserve">  本合同甲方申请贷款为组合贷款，除签订本合同外，甲方还与丙方签订了购房借款合同。甲方组合贷款中住房商业贷款金额为人民币（大写）</w:t>
      </w:r>
      <w:r>
        <w:rPr>
          <w:rFonts w:hint="eastAsia" w:ascii="宋体" w:hAnsi="宋体" w:cs="宋体"/>
          <w:sz w:val="24"/>
          <w:szCs w:val="24"/>
          <w:u w:val="single"/>
        </w:rPr>
        <w:t xml:space="preserve">                      </w:t>
      </w:r>
      <w:r>
        <w:rPr>
          <w:rFonts w:hint="eastAsia" w:ascii="宋体" w:hAnsi="宋体" w:cs="宋体"/>
          <w:sz w:val="24"/>
          <w:szCs w:val="24"/>
        </w:rPr>
        <w:t>，（小写）</w:t>
      </w:r>
      <w:r>
        <w:rPr>
          <w:rFonts w:hint="eastAsia" w:ascii="宋体" w:hAnsi="宋体" w:cs="宋体"/>
          <w:sz w:val="24"/>
          <w:szCs w:val="24"/>
          <w:u w:val="single"/>
        </w:rPr>
        <w:t xml:space="preserve">               </w:t>
      </w:r>
      <w:r>
        <w:rPr>
          <w:rFonts w:hint="eastAsia" w:ascii="宋体" w:hAnsi="宋体" w:cs="宋体"/>
          <w:sz w:val="24"/>
          <w:szCs w:val="24"/>
        </w:rPr>
        <w:t>元。</w:t>
      </w:r>
    </w:p>
    <w:p w14:paraId="20DB5DB4">
      <w:pPr>
        <w:snapToGrid w:val="0"/>
        <w:spacing w:line="480" w:lineRule="exact"/>
        <w:jc w:val="center"/>
        <w:rPr>
          <w:rFonts w:ascii="宋体" w:hAnsi="宋体" w:cs="宋体"/>
          <w:b/>
          <w:color w:val="000000"/>
          <w:sz w:val="24"/>
          <w:szCs w:val="24"/>
        </w:rPr>
      </w:pPr>
    </w:p>
    <w:p w14:paraId="30BFAA5F">
      <w:pPr>
        <w:snapToGrid w:val="0"/>
        <w:spacing w:line="480" w:lineRule="exact"/>
        <w:jc w:val="center"/>
        <w:rPr>
          <w:rFonts w:ascii="宋体" w:hAnsi="宋体" w:cs="宋体"/>
          <w:b/>
          <w:bCs/>
          <w:color w:val="000000"/>
          <w:sz w:val="24"/>
          <w:szCs w:val="24"/>
        </w:rPr>
      </w:pPr>
      <w:r>
        <w:rPr>
          <w:rFonts w:hint="eastAsia" w:ascii="宋体" w:hAnsi="宋体" w:cs="宋体"/>
          <w:b/>
          <w:color w:val="000000"/>
          <w:sz w:val="24"/>
          <w:szCs w:val="24"/>
        </w:rPr>
        <w:t xml:space="preserve">第二章  </w:t>
      </w:r>
      <w:r>
        <w:rPr>
          <w:rFonts w:hint="eastAsia" w:ascii="宋体" w:hAnsi="宋体" w:cs="宋体"/>
          <w:b/>
          <w:bCs/>
          <w:color w:val="000000"/>
          <w:sz w:val="24"/>
          <w:szCs w:val="24"/>
        </w:rPr>
        <w:t>借  款　偿　还</w:t>
      </w:r>
    </w:p>
    <w:p w14:paraId="16D8FCDF">
      <w:pPr>
        <w:snapToGrid w:val="0"/>
        <w:spacing w:line="480" w:lineRule="exact"/>
        <w:ind w:right="-74" w:firstLine="480" w:firstLineChars="200"/>
        <w:rPr>
          <w:rFonts w:ascii="宋体" w:hAnsi="宋体" w:cs="宋体"/>
          <w:color w:val="000000"/>
          <w:sz w:val="24"/>
          <w:szCs w:val="24"/>
        </w:rPr>
      </w:pPr>
      <w:r>
        <w:rPr>
          <w:rFonts w:hint="eastAsia" w:ascii="宋体" w:hAnsi="宋体" w:cs="宋体"/>
          <w:color w:val="000000"/>
          <w:sz w:val="24"/>
          <w:szCs w:val="24"/>
        </w:rPr>
        <w:t>第八条  甲方开立符合丙方划款要求的还款账户，且保证所提供账号真实有效，还款资金可以正常扣划偿还。甲方不可撤销地授权丙方按约定的还款额从该账户中划收借款本息及相关费用。</w:t>
      </w:r>
    </w:p>
    <w:p w14:paraId="2867893F">
      <w:pPr>
        <w:snapToGrid w:val="0"/>
        <w:spacing w:line="480" w:lineRule="exact"/>
        <w:ind w:right="-74" w:firstLine="540" w:firstLineChars="225"/>
        <w:rPr>
          <w:rFonts w:ascii="宋体" w:hAnsi="宋体" w:cs="宋体"/>
          <w:color w:val="000000"/>
          <w:sz w:val="24"/>
          <w:szCs w:val="24"/>
        </w:rPr>
      </w:pPr>
      <w:r>
        <w:rPr>
          <w:rFonts w:hint="eastAsia" w:ascii="宋体" w:hAnsi="宋体" w:cs="宋体"/>
          <w:color w:val="000000"/>
          <w:sz w:val="24"/>
          <w:szCs w:val="24"/>
        </w:rPr>
        <w:t>（一）还款账户名称：</w:t>
      </w:r>
      <w:r>
        <w:rPr>
          <w:rFonts w:hint="eastAsia" w:ascii="宋体" w:hAnsi="宋体" w:cs="宋体"/>
          <w:color w:val="000000"/>
          <w:sz w:val="24"/>
          <w:szCs w:val="24"/>
          <w:u w:val="single"/>
        </w:rPr>
        <w:t xml:space="preserve">               </w:t>
      </w:r>
      <w:r>
        <w:rPr>
          <w:rFonts w:hint="eastAsia" w:ascii="宋体" w:hAnsi="宋体" w:cs="宋体"/>
          <w:color w:val="000000"/>
          <w:sz w:val="24"/>
          <w:szCs w:val="24"/>
        </w:rPr>
        <w:t>。</w:t>
      </w:r>
    </w:p>
    <w:p w14:paraId="49DEDEB8">
      <w:pPr>
        <w:snapToGrid w:val="0"/>
        <w:spacing w:line="480" w:lineRule="exact"/>
        <w:ind w:right="-74" w:firstLine="540" w:firstLineChars="225"/>
        <w:rPr>
          <w:rFonts w:ascii="宋体" w:hAnsi="宋体" w:cs="宋体"/>
          <w:color w:val="000000"/>
          <w:sz w:val="24"/>
          <w:szCs w:val="24"/>
        </w:rPr>
      </w:pPr>
      <w:r>
        <w:rPr>
          <w:rFonts w:hint="eastAsia" w:ascii="宋体" w:hAnsi="宋体" w:cs="宋体"/>
          <w:color w:val="000000"/>
          <w:sz w:val="24"/>
          <w:szCs w:val="24"/>
        </w:rPr>
        <w:t>（二）还款账户账号：</w:t>
      </w:r>
      <w:r>
        <w:rPr>
          <w:rFonts w:hint="eastAsia" w:ascii="宋体" w:hAnsi="宋体" w:cs="宋体"/>
          <w:color w:val="000000"/>
          <w:sz w:val="24"/>
          <w:szCs w:val="24"/>
          <w:u w:val="single"/>
        </w:rPr>
        <w:t xml:space="preserve">                            </w:t>
      </w:r>
      <w:r>
        <w:rPr>
          <w:rFonts w:hint="eastAsia" w:ascii="宋体" w:hAnsi="宋体" w:cs="宋体"/>
          <w:color w:val="000000"/>
          <w:sz w:val="24"/>
          <w:szCs w:val="24"/>
        </w:rPr>
        <w:t>。</w:t>
      </w:r>
    </w:p>
    <w:p w14:paraId="3E0E60C9">
      <w:pPr>
        <w:snapToGrid w:val="0"/>
        <w:spacing w:line="480" w:lineRule="exact"/>
        <w:ind w:firstLine="480" w:firstLineChars="200"/>
        <w:rPr>
          <w:rFonts w:ascii="宋体" w:hAnsi="宋体" w:cs="宋体"/>
          <w:b/>
          <w:color w:val="000000"/>
          <w:sz w:val="24"/>
          <w:szCs w:val="24"/>
        </w:rPr>
      </w:pPr>
      <w:r>
        <w:rPr>
          <w:rFonts w:hint="eastAsia" w:ascii="宋体" w:hAnsi="宋体" w:cs="宋体"/>
          <w:color w:val="000000"/>
          <w:sz w:val="24"/>
          <w:szCs w:val="24"/>
        </w:rPr>
        <w:t>第九条  甲方自收到借款后的下一个月开始按月偿还借款，</w:t>
      </w:r>
      <w:r>
        <w:rPr>
          <w:rFonts w:hint="eastAsia" w:ascii="宋体" w:hAnsi="宋体" w:cs="宋体"/>
          <w:b/>
          <w:color w:val="000000"/>
          <w:sz w:val="24"/>
          <w:szCs w:val="24"/>
        </w:rPr>
        <w:t>每月的还款日为</w:t>
      </w:r>
    </w:p>
    <w:p w14:paraId="611D9FAF">
      <w:pPr>
        <w:snapToGrid w:val="0"/>
        <w:spacing w:line="480" w:lineRule="exact"/>
        <w:rPr>
          <w:rFonts w:ascii="宋体" w:hAnsi="宋体" w:cs="宋体"/>
          <w:color w:val="000000"/>
          <w:sz w:val="24"/>
          <w:szCs w:val="24"/>
        </w:rPr>
      </w:pPr>
      <w:r>
        <w:rPr>
          <w:rFonts w:hint="eastAsia" w:ascii="宋体" w:hAnsi="宋体" w:cs="宋体"/>
          <w:b/>
          <w:color w:val="000000"/>
          <w:sz w:val="24"/>
          <w:szCs w:val="24"/>
          <w:u w:val="single"/>
        </w:rPr>
        <w:t xml:space="preserve">     </w:t>
      </w:r>
      <w:r>
        <w:rPr>
          <w:rFonts w:hint="eastAsia" w:ascii="宋体" w:hAnsi="宋体" w:cs="宋体"/>
          <w:b/>
          <w:color w:val="000000"/>
          <w:sz w:val="24"/>
          <w:szCs w:val="24"/>
        </w:rPr>
        <w:t>日</w:t>
      </w:r>
      <w:r>
        <w:rPr>
          <w:rFonts w:hint="eastAsia" w:ascii="宋体" w:hAnsi="宋体" w:cs="宋体"/>
          <w:color w:val="000000"/>
          <w:sz w:val="24"/>
          <w:szCs w:val="24"/>
        </w:rPr>
        <w:t>，若某月没有对应的还款日，则该月的最后一日为还款日。甲方在每月还款日之外，因偿还逾期借款或提前偿还全部借款等，与乙方另行约定的还款日期，称为非合同约定还款日，按另行约定执行。</w:t>
      </w:r>
    </w:p>
    <w:p w14:paraId="747DB780">
      <w:pPr>
        <w:snapToGrid w:val="0"/>
        <w:spacing w:line="480" w:lineRule="exact"/>
        <w:ind w:firstLine="480" w:firstLineChars="200"/>
        <w:rPr>
          <w:rFonts w:ascii="宋体" w:hAnsi="宋体" w:cs="宋体"/>
          <w:b/>
          <w:color w:val="000000"/>
          <w:sz w:val="24"/>
          <w:szCs w:val="24"/>
        </w:rPr>
      </w:pPr>
      <w:r>
        <w:rPr>
          <w:rFonts w:hint="eastAsia" w:ascii="宋体" w:hAnsi="宋体" w:cs="宋体"/>
          <w:b/>
          <w:color w:val="000000"/>
          <w:sz w:val="24"/>
          <w:szCs w:val="24"/>
        </w:rPr>
        <w:t>甲方应于还款日（含非合同约定还款日）的前一日在还款账户内足额存入还款资金，并保证在还款日当天</w:t>
      </w:r>
      <w:r>
        <w:rPr>
          <w:rFonts w:ascii="宋体" w:hAnsi="宋体" w:cs="宋体"/>
          <w:b/>
          <w:color w:val="000000"/>
          <w:sz w:val="24"/>
          <w:szCs w:val="24"/>
        </w:rPr>
        <w:t>，</w:t>
      </w:r>
      <w:r>
        <w:rPr>
          <w:rFonts w:hint="eastAsia" w:ascii="宋体" w:hAnsi="宋体" w:cs="宋体"/>
          <w:b/>
          <w:color w:val="000000"/>
          <w:sz w:val="24"/>
          <w:szCs w:val="24"/>
        </w:rPr>
        <w:t>该账户内保持相应的存款，以备丙方划收。</w:t>
      </w:r>
    </w:p>
    <w:p w14:paraId="473F51C7">
      <w:pPr>
        <w:snapToGrid w:val="0"/>
        <w:spacing w:line="480" w:lineRule="exact"/>
        <w:ind w:firstLine="480" w:firstLineChars="200"/>
        <w:rPr>
          <w:rFonts w:ascii="宋体" w:hAnsi="宋体" w:cs="宋体"/>
          <w:color w:val="000000"/>
          <w:sz w:val="24"/>
          <w:szCs w:val="24"/>
        </w:rPr>
      </w:pPr>
      <w:r>
        <w:rPr>
          <w:rFonts w:hint="eastAsia" w:ascii="宋体" w:hAnsi="宋体" w:cs="宋体"/>
          <w:color w:val="000000"/>
          <w:sz w:val="24"/>
          <w:szCs w:val="24"/>
        </w:rPr>
        <w:t>第十条  甲方按照乙方规定的自由还款方式按月偿还借款，</w:t>
      </w:r>
      <w:r>
        <w:rPr>
          <w:rFonts w:hint="eastAsia" w:ascii="宋体" w:hAnsi="宋体" w:cs="宋体"/>
          <w:b/>
          <w:color w:val="000000"/>
          <w:sz w:val="24"/>
          <w:szCs w:val="24"/>
        </w:rPr>
        <w:t>每月最低还款额为</w:t>
      </w:r>
      <w:r>
        <w:rPr>
          <w:rFonts w:hint="eastAsia" w:ascii="宋体" w:hAnsi="宋体" w:cs="宋体"/>
          <w:b/>
          <w:color w:val="000000"/>
          <w:sz w:val="24"/>
          <w:szCs w:val="24"/>
          <w:u w:val="single"/>
        </w:rPr>
        <w:t xml:space="preserve">          </w:t>
      </w:r>
      <w:r>
        <w:rPr>
          <w:rFonts w:hint="eastAsia" w:ascii="宋体" w:hAnsi="宋体" w:cs="宋体"/>
          <w:b/>
          <w:color w:val="000000"/>
          <w:sz w:val="24"/>
          <w:szCs w:val="24"/>
        </w:rPr>
        <w:t>元，该金额为除甲方最后一期还款外，每月至少应偿还的金额，甲</w:t>
      </w:r>
      <w:r>
        <w:rPr>
          <w:rFonts w:hint="eastAsia" w:ascii="宋体" w:hAnsi="宋体" w:cs="宋体"/>
          <w:b/>
          <w:sz w:val="24"/>
          <w:szCs w:val="24"/>
        </w:rPr>
        <w:t>方最后一期还款的金额按实际</w:t>
      </w:r>
      <w:r>
        <w:rPr>
          <w:rFonts w:hint="eastAsia" w:ascii="宋体" w:hAnsi="宋体" w:cs="宋体"/>
          <w:b/>
          <w:color w:val="000000"/>
          <w:sz w:val="24"/>
          <w:szCs w:val="24"/>
        </w:rPr>
        <w:t>剩余借款本金、利息及罚息之和确</w:t>
      </w:r>
      <w:r>
        <w:rPr>
          <w:rFonts w:hint="eastAsia" w:ascii="宋体" w:hAnsi="宋体" w:cs="宋体"/>
          <w:b/>
          <w:sz w:val="24"/>
          <w:szCs w:val="24"/>
        </w:rPr>
        <w:t>定</w:t>
      </w:r>
      <w:r>
        <w:rPr>
          <w:rFonts w:hint="eastAsia" w:ascii="宋体" w:hAnsi="宋体" w:cs="宋体"/>
          <w:sz w:val="24"/>
          <w:szCs w:val="24"/>
        </w:rPr>
        <w:t>。</w:t>
      </w:r>
      <w:r>
        <w:rPr>
          <w:rFonts w:hint="eastAsia" w:ascii="宋体" w:hAnsi="宋体" w:cs="宋体"/>
          <w:color w:val="000000"/>
          <w:sz w:val="24"/>
          <w:szCs w:val="24"/>
        </w:rPr>
        <w:t>甲方收到借款前或债务履行期间，如遇贷款利率调整，月最低还款额按乙方规定调整并执行，不再另行通知甲方。甲方可通过乙方网站、住房公积金热线、“北京公积金”APP等渠道查询。</w:t>
      </w:r>
    </w:p>
    <w:p w14:paraId="7EE76CF5">
      <w:pPr>
        <w:snapToGrid w:val="0"/>
        <w:spacing w:line="480" w:lineRule="exact"/>
        <w:ind w:right="-74" w:firstLine="480" w:firstLineChars="200"/>
        <w:rPr>
          <w:rFonts w:ascii="宋体" w:hAnsi="宋体" w:cs="宋体"/>
          <w:color w:val="FF0000"/>
          <w:sz w:val="24"/>
          <w:szCs w:val="24"/>
        </w:rPr>
      </w:pPr>
      <w:r>
        <w:rPr>
          <w:rFonts w:hint="eastAsia" w:ascii="宋体" w:hAnsi="宋体" w:cs="宋体"/>
          <w:color w:val="000000"/>
          <w:sz w:val="24"/>
          <w:szCs w:val="24"/>
        </w:rPr>
        <w:t xml:space="preserve">第十一条  </w:t>
      </w:r>
      <w:r>
        <w:rPr>
          <w:rFonts w:hint="eastAsia" w:ascii="宋体" w:hAnsi="宋体" w:cs="宋体"/>
          <w:b/>
          <w:color w:val="000000"/>
          <w:sz w:val="24"/>
          <w:szCs w:val="24"/>
        </w:rPr>
        <w:t>合同履行期间，甲方可在月最低还款额基础上调整月还款额，按照高于月最低还款额的金额还款，调整后的还款额称为约定还款额。约定还款额应为一元的整数倍（约定还清全部借款除外）；甲方未调整过月还款额的，约定还款额为甲方的月最低还款额；甲方多次调整月还款额的，约定还款额为甲方最近一次有效调整金额；</w:t>
      </w:r>
      <w:r>
        <w:rPr>
          <w:rFonts w:hint="eastAsia" w:ascii="宋体" w:hAnsi="宋体" w:cs="宋体"/>
          <w:b/>
          <w:sz w:val="24"/>
          <w:szCs w:val="24"/>
        </w:rPr>
        <w:t>约定还款额高于甲方剩</w:t>
      </w:r>
      <w:r>
        <w:rPr>
          <w:rFonts w:hint="eastAsia" w:ascii="宋体" w:hAnsi="宋体" w:cs="宋体"/>
          <w:b/>
          <w:color w:val="000000"/>
          <w:sz w:val="24"/>
          <w:szCs w:val="24"/>
        </w:rPr>
        <w:t>余借款本金、利息及罚息之和的，约定还款额为剩余借款本金、利息及罚息之和</w:t>
      </w:r>
      <w:r>
        <w:rPr>
          <w:rFonts w:hint="eastAsia" w:ascii="宋体" w:hAnsi="宋体" w:cs="宋体"/>
          <w:b/>
          <w:sz w:val="24"/>
          <w:szCs w:val="24"/>
        </w:rPr>
        <w:t>。</w:t>
      </w:r>
    </w:p>
    <w:p w14:paraId="2756ED3D">
      <w:pPr>
        <w:snapToGrid w:val="0"/>
        <w:spacing w:line="480" w:lineRule="exact"/>
        <w:ind w:firstLine="540" w:firstLineChars="225"/>
        <w:rPr>
          <w:rFonts w:ascii="宋体" w:hAnsi="宋体" w:cs="宋体"/>
          <w:color w:val="000000"/>
          <w:sz w:val="24"/>
          <w:szCs w:val="24"/>
        </w:rPr>
      </w:pPr>
      <w:r>
        <w:rPr>
          <w:rFonts w:hint="eastAsia" w:ascii="宋体" w:hAnsi="宋体" w:cs="宋体"/>
          <w:color w:val="000000"/>
          <w:sz w:val="24"/>
          <w:szCs w:val="24"/>
        </w:rPr>
        <w:t>第十二条  甲方调整月还款额，可通过乙方个人网上业务平台、住房公积金热线、“北京公积金”APP等渠道自助办理，或到乙方贷款业务柜台办理。</w:t>
      </w:r>
      <w:r>
        <w:rPr>
          <w:rFonts w:hint="eastAsia" w:ascii="宋体" w:hAnsi="宋体" w:cs="宋体"/>
          <w:b/>
          <w:color w:val="000000"/>
          <w:sz w:val="24"/>
          <w:szCs w:val="24"/>
        </w:rPr>
        <w:t>甲方在还款日（含非合同约定还款日）当日不能办理调整月还款额等还款业务。</w:t>
      </w:r>
    </w:p>
    <w:p w14:paraId="0346D65D">
      <w:pPr>
        <w:snapToGrid w:val="0"/>
        <w:spacing w:line="480" w:lineRule="exact"/>
        <w:ind w:firstLine="540" w:firstLineChars="225"/>
        <w:rPr>
          <w:rFonts w:ascii="宋体" w:hAnsi="宋体" w:cs="宋体"/>
          <w:b/>
          <w:color w:val="000000"/>
          <w:sz w:val="24"/>
          <w:szCs w:val="24"/>
        </w:rPr>
      </w:pPr>
      <w:r>
        <w:rPr>
          <w:rFonts w:hint="eastAsia" w:ascii="宋体" w:hAnsi="宋体" w:cs="宋体"/>
          <w:color w:val="000000"/>
          <w:sz w:val="24"/>
          <w:szCs w:val="24"/>
        </w:rPr>
        <w:t>第十三条  凡是凭甲方信息登录乙方个人网上业务平台、住房公积金热线、“北京公积金”APP等自助渠道进行的业务操作，均视为甲方所为。甲方的操作情况，均以乙方的系统记录资料为准，双方均认可乙方系统记录资料的真实性、准确性和合法性。甲方同意乙方单方修改自助渠道系统规则。</w:t>
      </w:r>
    </w:p>
    <w:p w14:paraId="06B58A25">
      <w:pPr>
        <w:snapToGrid w:val="0"/>
        <w:spacing w:line="480" w:lineRule="exact"/>
        <w:ind w:right="-74" w:firstLine="540" w:firstLineChars="225"/>
        <w:rPr>
          <w:rFonts w:ascii="宋体" w:hAnsi="宋体" w:cs="宋体"/>
          <w:color w:val="000000"/>
          <w:sz w:val="24"/>
          <w:szCs w:val="24"/>
        </w:rPr>
      </w:pPr>
      <w:r>
        <w:rPr>
          <w:rFonts w:hint="eastAsia" w:ascii="宋体" w:hAnsi="宋体" w:cs="宋体"/>
          <w:color w:val="000000"/>
          <w:sz w:val="24"/>
          <w:szCs w:val="24"/>
        </w:rPr>
        <w:t>第十四条  丙方于本合同确定的每月还款日划收甲方还款时，按下述方法进行：</w:t>
      </w:r>
      <w:r>
        <w:rPr>
          <w:rFonts w:hint="eastAsia" w:ascii="宋体" w:hAnsi="宋体" w:cs="宋体"/>
          <w:b/>
          <w:color w:val="000000"/>
          <w:sz w:val="24"/>
          <w:szCs w:val="24"/>
        </w:rPr>
        <w:t>甲方还款账户内存款足以偿还约定还款额的，丙方按约定还款额划收；不足的，丙方按本合同确定的月最低还款额划收；仍不足的，丙方不进行划收，视为甲方逾期，并按月最低还款额计收罚息。</w:t>
      </w:r>
      <w:r>
        <w:rPr>
          <w:rFonts w:hint="eastAsia" w:ascii="宋体" w:hAnsi="宋体" w:cs="宋体"/>
          <w:color w:val="000000"/>
          <w:sz w:val="24"/>
          <w:szCs w:val="24"/>
        </w:rPr>
        <w:t xml:space="preserve"> </w:t>
      </w:r>
    </w:p>
    <w:p w14:paraId="4F52656A">
      <w:pPr>
        <w:snapToGrid w:val="0"/>
        <w:spacing w:line="480" w:lineRule="exact"/>
        <w:ind w:right="-74" w:firstLine="480" w:firstLineChars="200"/>
        <w:rPr>
          <w:rFonts w:ascii="宋体" w:hAnsi="宋体" w:cs="宋体"/>
          <w:b/>
          <w:color w:val="000000"/>
          <w:sz w:val="24"/>
          <w:szCs w:val="24"/>
        </w:rPr>
      </w:pPr>
      <w:r>
        <w:rPr>
          <w:rFonts w:hint="eastAsia" w:ascii="宋体" w:hAnsi="宋体" w:cs="宋体"/>
          <w:b/>
          <w:color w:val="000000"/>
          <w:sz w:val="24"/>
          <w:szCs w:val="24"/>
        </w:rPr>
        <w:t>甲方剩余借款本金、利息及罚息小于月最低还款额，或在借款到期日须偿还全部剩余借款的，丙方按照甲方剩余借款本金、利息及罚息划收，甲方还款账户内存款不足的，丙方不进行划收，并按甲方剩余借款本金、利息计收罚息。</w:t>
      </w:r>
    </w:p>
    <w:p w14:paraId="6EFFFD67">
      <w:pPr>
        <w:snapToGrid w:val="0"/>
        <w:spacing w:line="480" w:lineRule="exact"/>
        <w:ind w:right="-74" w:firstLine="480" w:firstLineChars="200"/>
        <w:rPr>
          <w:rFonts w:ascii="宋体" w:hAnsi="宋体" w:cs="宋体"/>
          <w:color w:val="000000"/>
          <w:sz w:val="24"/>
          <w:szCs w:val="24"/>
        </w:rPr>
      </w:pPr>
      <w:r>
        <w:rPr>
          <w:rFonts w:hint="eastAsia" w:ascii="宋体" w:hAnsi="宋体" w:cs="宋体"/>
          <w:color w:val="000000"/>
          <w:sz w:val="24"/>
          <w:szCs w:val="24"/>
        </w:rPr>
        <w:t>第十五条  甲方偿还逾期借款，或提前偿还全部借款，可采用以下两种途径办理：</w:t>
      </w:r>
    </w:p>
    <w:p w14:paraId="34D3DC69">
      <w:pPr>
        <w:tabs>
          <w:tab w:val="left" w:pos="1920"/>
        </w:tabs>
        <w:snapToGrid w:val="0"/>
        <w:spacing w:line="480" w:lineRule="exact"/>
        <w:ind w:right="-74" w:firstLine="480" w:firstLineChars="200"/>
        <w:rPr>
          <w:rFonts w:ascii="宋体" w:hAnsi="宋体" w:cs="宋体"/>
          <w:color w:val="000000"/>
          <w:sz w:val="24"/>
          <w:szCs w:val="24"/>
        </w:rPr>
      </w:pPr>
      <w:r>
        <w:rPr>
          <w:rFonts w:hint="eastAsia" w:ascii="宋体" w:hAnsi="宋体" w:cs="宋体"/>
          <w:color w:val="000000"/>
          <w:sz w:val="24"/>
          <w:szCs w:val="24"/>
        </w:rPr>
        <w:t>（一）按照第十二条进行月还款额调整，在合同确定的每月还款日进行偿还。</w:t>
      </w:r>
    </w:p>
    <w:p w14:paraId="331C904D">
      <w:pPr>
        <w:snapToGrid w:val="0"/>
        <w:spacing w:line="480" w:lineRule="exact"/>
        <w:ind w:right="-74" w:firstLine="480" w:firstLineChars="200"/>
        <w:rPr>
          <w:rFonts w:ascii="宋体" w:hAnsi="宋体" w:cs="宋体"/>
          <w:color w:val="000000"/>
          <w:sz w:val="24"/>
          <w:szCs w:val="24"/>
        </w:rPr>
      </w:pPr>
      <w:r>
        <w:rPr>
          <w:rFonts w:hint="eastAsia" w:ascii="宋体" w:hAnsi="宋体" w:cs="宋体"/>
          <w:color w:val="000000"/>
          <w:sz w:val="24"/>
          <w:szCs w:val="24"/>
        </w:rPr>
        <w:t>（二）</w:t>
      </w:r>
      <w:r>
        <w:rPr>
          <w:rFonts w:hint="eastAsia" w:ascii="宋体" w:hAnsi="宋体" w:cs="宋体"/>
          <w:b/>
          <w:color w:val="000000"/>
          <w:sz w:val="24"/>
          <w:szCs w:val="24"/>
        </w:rPr>
        <w:t>如选择在非合同约定还款日偿还，甲方须在合同确定的每月还款日（不含该日）一个工作日</w:t>
      </w:r>
      <w:r>
        <w:rPr>
          <w:rFonts w:ascii="宋体" w:hAnsi="宋体" w:cs="宋体"/>
          <w:b/>
          <w:color w:val="000000"/>
          <w:sz w:val="24"/>
          <w:szCs w:val="24"/>
        </w:rPr>
        <w:t>之</w:t>
      </w:r>
      <w:r>
        <w:rPr>
          <w:rFonts w:hint="eastAsia" w:ascii="宋体" w:hAnsi="宋体" w:cs="宋体"/>
          <w:b/>
          <w:color w:val="000000"/>
          <w:sz w:val="24"/>
          <w:szCs w:val="24"/>
        </w:rPr>
        <w:t>前至乙方贷款业务柜台或通过乙方个人网上业务平台、“北京公积金”APP等渠道申请办理</w:t>
      </w:r>
      <w:r>
        <w:rPr>
          <w:rFonts w:hint="eastAsia" w:ascii="宋体" w:hAnsi="宋体" w:cs="宋体"/>
          <w:color w:val="000000"/>
          <w:sz w:val="24"/>
          <w:szCs w:val="24"/>
        </w:rPr>
        <w:t>。</w:t>
      </w:r>
    </w:p>
    <w:p w14:paraId="030B1EE4">
      <w:pPr>
        <w:tabs>
          <w:tab w:val="left" w:pos="1920"/>
        </w:tabs>
        <w:snapToGrid w:val="0"/>
        <w:spacing w:line="480" w:lineRule="exact"/>
        <w:ind w:right="-74" w:firstLine="480" w:firstLineChars="200"/>
        <w:rPr>
          <w:rFonts w:ascii="宋体" w:hAnsi="宋体" w:cs="宋体"/>
          <w:color w:val="000000"/>
          <w:sz w:val="24"/>
          <w:szCs w:val="24"/>
        </w:rPr>
      </w:pPr>
      <w:r>
        <w:rPr>
          <w:rFonts w:hint="eastAsia" w:ascii="宋体" w:hAnsi="宋体" w:cs="宋体"/>
          <w:color w:val="000000"/>
          <w:sz w:val="24"/>
          <w:szCs w:val="24"/>
        </w:rPr>
        <w:t>第十六条  丙方划收甲方还款资金的偿还顺序如下：</w:t>
      </w:r>
      <w:r>
        <w:rPr>
          <w:rFonts w:hint="eastAsia" w:ascii="宋体" w:hAnsi="宋体" w:cs="宋体"/>
          <w:color w:val="000000"/>
          <w:sz w:val="24"/>
          <w:szCs w:val="24"/>
        </w:rPr>
        <w:tab/>
      </w:r>
    </w:p>
    <w:p w14:paraId="59AD95FC">
      <w:pPr>
        <w:snapToGrid w:val="0"/>
        <w:spacing w:line="480" w:lineRule="exact"/>
        <w:ind w:firstLine="482"/>
        <w:rPr>
          <w:rFonts w:ascii="宋体" w:hAnsi="宋体" w:cs="宋体"/>
          <w:color w:val="000000"/>
          <w:sz w:val="24"/>
          <w:szCs w:val="24"/>
        </w:rPr>
      </w:pPr>
      <w:r>
        <w:rPr>
          <w:rFonts w:hint="eastAsia" w:ascii="宋体" w:hAnsi="宋体" w:cs="宋体"/>
          <w:color w:val="000000"/>
          <w:sz w:val="24"/>
          <w:szCs w:val="24"/>
        </w:rPr>
        <w:t>（一）借款未逾期的，按照先还利息、后还本金的顺序依次偿还；</w:t>
      </w:r>
    </w:p>
    <w:p w14:paraId="1E69BC3F">
      <w:pPr>
        <w:snapToGrid w:val="0"/>
        <w:spacing w:line="480" w:lineRule="exact"/>
        <w:ind w:firstLine="493"/>
        <w:rPr>
          <w:rFonts w:ascii="宋体" w:hAnsi="宋体" w:cs="宋体"/>
          <w:color w:val="000000"/>
          <w:sz w:val="24"/>
          <w:szCs w:val="24"/>
        </w:rPr>
      </w:pPr>
      <w:r>
        <w:rPr>
          <w:rFonts w:hint="eastAsia" w:ascii="宋体" w:hAnsi="宋体" w:cs="宋体"/>
          <w:color w:val="000000"/>
          <w:sz w:val="24"/>
          <w:szCs w:val="24"/>
        </w:rPr>
        <w:t>（二）借款逾期的，按照先还逾期部分，后还非逾期部分的顺序进行偿还。对于逾期部分，按逾期时间先后顺序，逐期偿还，对于同一期逾期借款，按罚息、利息、本金的顺序依次偿还。</w:t>
      </w:r>
    </w:p>
    <w:p w14:paraId="11B55B46">
      <w:pPr>
        <w:snapToGrid w:val="0"/>
        <w:spacing w:line="480" w:lineRule="exact"/>
        <w:ind w:firstLine="482"/>
        <w:rPr>
          <w:rFonts w:ascii="宋体" w:hAnsi="宋体" w:cs="宋体"/>
          <w:color w:val="000000"/>
          <w:sz w:val="24"/>
          <w:szCs w:val="24"/>
        </w:rPr>
      </w:pPr>
      <w:r>
        <w:rPr>
          <w:rFonts w:hint="eastAsia" w:ascii="宋体" w:hAnsi="宋体" w:cs="宋体"/>
          <w:color w:val="000000"/>
          <w:sz w:val="24"/>
          <w:szCs w:val="24"/>
        </w:rPr>
        <w:t xml:space="preserve">第十七条  甲方为多名借款人的，借款人之间互相承担借款的无限连带还款责任。任一借款人均可按乙方规定，办理还款相关业务，包括：查询与借款有关的月还款本金、利息、罚息情况，打印相关还款证明；申请使用自己名下的、符合丙方划款要求的还款账户，替换原有还款账户继续进行借款的扣划偿还；申请办理调整月还款额、偿还逾期借款、提前偿还全部借款、重置本人住房公积金交易密码等还款类业务。  </w:t>
      </w:r>
    </w:p>
    <w:p w14:paraId="34E8D381">
      <w:pPr>
        <w:snapToGrid w:val="0"/>
        <w:spacing w:line="480" w:lineRule="exact"/>
        <w:ind w:firstLine="480" w:firstLineChars="200"/>
        <w:rPr>
          <w:rFonts w:ascii="宋体" w:hAnsi="宋体" w:cs="宋体"/>
          <w:color w:val="000000"/>
          <w:sz w:val="24"/>
          <w:szCs w:val="24"/>
        </w:rPr>
      </w:pPr>
      <w:r>
        <w:rPr>
          <w:rFonts w:hint="eastAsia" w:ascii="宋体" w:hAnsi="宋体" w:cs="宋体"/>
          <w:sz w:val="24"/>
          <w:szCs w:val="24"/>
        </w:rPr>
        <w:t>第十八条  本合同贷款出现下列情形之一</w:t>
      </w:r>
      <w:r>
        <w:rPr>
          <w:rFonts w:hint="eastAsia" w:ascii="宋体" w:hAnsi="宋体" w:cs="宋体"/>
          <w:color w:val="000000"/>
          <w:sz w:val="24"/>
          <w:szCs w:val="24"/>
        </w:rPr>
        <w:t>，乙方和丙方有权宣告借款合同提前到期，要求甲方提前偿还全部借款，有权行使抵押权</w:t>
      </w:r>
      <w:r>
        <w:rPr>
          <w:rFonts w:ascii="宋体" w:hAnsi="宋体" w:cs="宋体"/>
          <w:color w:val="000000"/>
          <w:sz w:val="24"/>
          <w:szCs w:val="24"/>
        </w:rPr>
        <w:t>，</w:t>
      </w:r>
      <w:r>
        <w:rPr>
          <w:rFonts w:hint="eastAsia" w:ascii="宋体" w:hAnsi="宋体" w:cs="宋体"/>
          <w:color w:val="000000"/>
          <w:sz w:val="24"/>
          <w:szCs w:val="24"/>
        </w:rPr>
        <w:t>有权要求</w:t>
      </w:r>
      <w:r>
        <w:rPr>
          <w:rFonts w:ascii="宋体" w:hAnsi="宋体" w:cs="宋体"/>
          <w:color w:val="000000"/>
          <w:sz w:val="24"/>
          <w:szCs w:val="24"/>
        </w:rPr>
        <w:t>保证人</w:t>
      </w:r>
      <w:r>
        <w:rPr>
          <w:rFonts w:hint="eastAsia" w:ascii="宋体" w:hAnsi="宋体" w:cs="宋体"/>
          <w:color w:val="000000"/>
          <w:sz w:val="24"/>
          <w:szCs w:val="24"/>
        </w:rPr>
        <w:t xml:space="preserve">履行保证责任，乙方有权冻结甲方住房公积金账户，扣划甲方住房公积金账户资金偿还借款： </w:t>
      </w:r>
    </w:p>
    <w:p w14:paraId="7CAFDF21">
      <w:pPr>
        <w:spacing w:line="480" w:lineRule="exact"/>
        <w:ind w:firstLine="480" w:firstLineChars="200"/>
        <w:rPr>
          <w:rFonts w:ascii="Times New Roman" w:hAnsi="Times New Roman"/>
          <w:sz w:val="24"/>
          <w:szCs w:val="24"/>
        </w:rPr>
      </w:pPr>
      <w:r>
        <w:rPr>
          <w:rFonts w:hint="eastAsia" w:ascii="Times New Roman" w:hAnsi="Times New Roman"/>
          <w:sz w:val="24"/>
          <w:szCs w:val="24"/>
        </w:rPr>
        <w:t>（一）甲方改变借款用途，或与售房人以购房交易形式套取借款资金，用于其他用途；</w:t>
      </w:r>
    </w:p>
    <w:p w14:paraId="219507F4">
      <w:pPr>
        <w:snapToGrid w:val="0"/>
        <w:spacing w:line="480" w:lineRule="exact"/>
        <w:ind w:firstLine="480" w:firstLineChars="200"/>
        <w:rPr>
          <w:rFonts w:ascii="宋体" w:hAnsi="宋体" w:cs="宋体"/>
          <w:sz w:val="24"/>
          <w:szCs w:val="24"/>
        </w:rPr>
      </w:pPr>
      <w:r>
        <w:rPr>
          <w:rFonts w:hint="eastAsia" w:ascii="宋体" w:hAnsi="宋体" w:cs="宋体"/>
          <w:sz w:val="24"/>
          <w:szCs w:val="24"/>
        </w:rPr>
        <w:t>（二）甲方连续三个月不履行或不完全履行还款义务；</w:t>
      </w:r>
    </w:p>
    <w:p w14:paraId="08C80588">
      <w:pPr>
        <w:snapToGrid w:val="0"/>
        <w:spacing w:line="480" w:lineRule="exact"/>
        <w:ind w:firstLine="480" w:firstLineChars="200"/>
        <w:rPr>
          <w:rFonts w:ascii="宋体" w:hAnsi="宋体" w:cs="宋体"/>
          <w:color w:val="000000"/>
          <w:sz w:val="24"/>
          <w:szCs w:val="24"/>
        </w:rPr>
      </w:pPr>
      <w:r>
        <w:rPr>
          <w:rFonts w:hint="eastAsia" w:ascii="宋体" w:hAnsi="宋体" w:cs="宋体"/>
          <w:color w:val="000000"/>
          <w:sz w:val="24"/>
          <w:szCs w:val="24"/>
        </w:rPr>
        <w:t>（三）甲方</w:t>
      </w:r>
      <w:r>
        <w:rPr>
          <w:rFonts w:hint="eastAsia" w:ascii="宋体" w:hAnsi="宋体" w:cs="宋体"/>
          <w:sz w:val="24"/>
          <w:szCs w:val="24"/>
        </w:rPr>
        <w:t>办理贷款或住房公积金提取等业务，向乙方提供证明、资料等文件有虚假、非法的情况，或故意隐瞒足以影响贷款审核结果的有关信息；</w:t>
      </w:r>
    </w:p>
    <w:p w14:paraId="2D3182C0">
      <w:pPr>
        <w:tabs>
          <w:tab w:val="left" w:pos="0"/>
        </w:tabs>
        <w:snapToGrid w:val="0"/>
        <w:spacing w:line="480" w:lineRule="exact"/>
        <w:ind w:left="493"/>
        <w:rPr>
          <w:rFonts w:ascii="宋体" w:hAnsi="宋体" w:cs="宋体"/>
          <w:color w:val="000000"/>
          <w:sz w:val="24"/>
          <w:szCs w:val="24"/>
        </w:rPr>
      </w:pPr>
      <w:r>
        <w:rPr>
          <w:rFonts w:hint="eastAsia" w:ascii="宋体" w:hAnsi="宋体" w:cs="宋体"/>
          <w:color w:val="000000"/>
          <w:sz w:val="24"/>
          <w:szCs w:val="24"/>
        </w:rPr>
        <w:t>（四）甲方死亡、被宣告失踪、被宣告死亡、丧失民事行为能力又无代其</w:t>
      </w:r>
    </w:p>
    <w:p w14:paraId="5695478F">
      <w:pPr>
        <w:tabs>
          <w:tab w:val="left" w:pos="0"/>
        </w:tabs>
        <w:snapToGrid w:val="0"/>
        <w:spacing w:line="480" w:lineRule="exact"/>
        <w:rPr>
          <w:rFonts w:ascii="宋体" w:hAnsi="宋体" w:cs="宋体"/>
          <w:color w:val="000000"/>
          <w:sz w:val="24"/>
          <w:szCs w:val="24"/>
        </w:rPr>
      </w:pPr>
      <w:r>
        <w:rPr>
          <w:rFonts w:hint="eastAsia" w:ascii="宋体" w:hAnsi="宋体" w:cs="宋体"/>
          <w:color w:val="000000"/>
          <w:sz w:val="24"/>
          <w:szCs w:val="24"/>
        </w:rPr>
        <w:t>履行债务的人或者</w:t>
      </w:r>
      <w:r>
        <w:rPr>
          <w:rFonts w:hint="eastAsia" w:ascii="宋体" w:hAnsi="宋体" w:cs="宋体"/>
          <w:sz w:val="24"/>
          <w:szCs w:val="24"/>
        </w:rPr>
        <w:t>其遗产管理人、继承</w:t>
      </w:r>
      <w:r>
        <w:rPr>
          <w:rFonts w:hint="eastAsia" w:ascii="宋体" w:hAnsi="宋体" w:cs="宋体"/>
          <w:color w:val="000000"/>
          <w:sz w:val="24"/>
          <w:szCs w:val="24"/>
        </w:rPr>
        <w:t>人、受遗赠人、财产代管人、监护人拒绝履行本合同；</w:t>
      </w:r>
    </w:p>
    <w:p w14:paraId="31BBF26F">
      <w:pPr>
        <w:tabs>
          <w:tab w:val="left" w:pos="0"/>
        </w:tabs>
        <w:snapToGrid w:val="0"/>
        <w:spacing w:line="480" w:lineRule="exact"/>
        <w:ind w:left="493"/>
        <w:rPr>
          <w:rFonts w:ascii="宋体" w:hAnsi="宋体" w:cs="宋体"/>
          <w:sz w:val="24"/>
          <w:szCs w:val="24"/>
        </w:rPr>
      </w:pPr>
      <w:r>
        <w:rPr>
          <w:rFonts w:hint="eastAsia" w:ascii="宋体" w:hAnsi="宋体" w:cs="宋体"/>
          <w:color w:val="000000"/>
          <w:sz w:val="24"/>
          <w:szCs w:val="24"/>
        </w:rPr>
        <w:t>（五）甲方擅自将本合同项下债务转移给第三人，</w:t>
      </w:r>
      <w:r>
        <w:rPr>
          <w:rFonts w:hint="eastAsia" w:ascii="宋体" w:hAnsi="宋体" w:cs="宋体"/>
          <w:sz w:val="24"/>
          <w:szCs w:val="24"/>
        </w:rPr>
        <w:t>或通过离婚转</w:t>
      </w:r>
      <w:r>
        <w:rPr>
          <w:rFonts w:hint="eastAsia" w:ascii="宋体" w:hAnsi="宋体" w:cs="宋体"/>
          <w:color w:val="000000"/>
          <w:sz w:val="24"/>
          <w:szCs w:val="24"/>
        </w:rPr>
        <w:t>移借款等</w:t>
      </w:r>
      <w:r>
        <w:rPr>
          <w:rFonts w:hint="eastAsia" w:ascii="宋体" w:hAnsi="宋体" w:cs="宋体"/>
          <w:sz w:val="24"/>
          <w:szCs w:val="24"/>
        </w:rPr>
        <w:t>方</w:t>
      </w:r>
    </w:p>
    <w:p w14:paraId="6444A879">
      <w:pPr>
        <w:tabs>
          <w:tab w:val="left" w:pos="0"/>
        </w:tabs>
        <w:snapToGrid w:val="0"/>
        <w:spacing w:line="480" w:lineRule="exact"/>
        <w:rPr>
          <w:rFonts w:ascii="宋体" w:hAnsi="宋体" w:cs="宋体"/>
          <w:color w:val="000000"/>
          <w:sz w:val="24"/>
          <w:szCs w:val="24"/>
        </w:rPr>
      </w:pPr>
      <w:r>
        <w:rPr>
          <w:rFonts w:hint="eastAsia" w:ascii="宋体" w:hAnsi="宋体" w:cs="宋体"/>
          <w:sz w:val="24"/>
          <w:szCs w:val="24"/>
        </w:rPr>
        <w:t>式，获取新</w:t>
      </w:r>
      <w:r>
        <w:rPr>
          <w:rFonts w:hint="eastAsia" w:ascii="宋体" w:hAnsi="宋体" w:cs="宋体"/>
          <w:color w:val="000000"/>
          <w:sz w:val="24"/>
          <w:szCs w:val="24"/>
        </w:rPr>
        <w:t>的借款资</w:t>
      </w:r>
      <w:r>
        <w:rPr>
          <w:rFonts w:hint="eastAsia" w:ascii="宋体" w:hAnsi="宋体" w:cs="宋体"/>
          <w:sz w:val="24"/>
          <w:szCs w:val="24"/>
        </w:rPr>
        <w:t>格的；</w:t>
      </w:r>
      <w:r>
        <w:rPr>
          <w:rFonts w:hint="eastAsia" w:ascii="宋体" w:hAnsi="宋体" w:cs="宋体"/>
          <w:color w:val="000000"/>
          <w:sz w:val="24"/>
          <w:szCs w:val="24"/>
        </w:rPr>
        <w:t xml:space="preserve"> </w:t>
      </w:r>
    </w:p>
    <w:p w14:paraId="622FF52C">
      <w:pPr>
        <w:snapToGrid w:val="0"/>
        <w:spacing w:line="480" w:lineRule="exact"/>
        <w:ind w:firstLine="480" w:firstLineChars="200"/>
        <w:rPr>
          <w:rFonts w:ascii="宋体" w:hAnsi="宋体" w:cs="宋体"/>
          <w:sz w:val="24"/>
          <w:szCs w:val="24"/>
        </w:rPr>
      </w:pPr>
      <w:r>
        <w:rPr>
          <w:rFonts w:hint="eastAsia" w:ascii="宋体" w:hAnsi="宋体" w:cs="宋体"/>
          <w:color w:val="000000"/>
          <w:sz w:val="24"/>
          <w:szCs w:val="24"/>
        </w:rPr>
        <w:t>（六）甲方发生伤残、失业、搬迁、婚姻变动、工作变动、经营变动等任何改变，且乙方或丙方依其自主判断认为可能危及本合同项下债权实现的；</w:t>
      </w:r>
    </w:p>
    <w:p w14:paraId="412196DC">
      <w:pPr>
        <w:snapToGrid w:val="0"/>
        <w:spacing w:line="480" w:lineRule="exact"/>
        <w:ind w:firstLine="480" w:firstLineChars="200"/>
        <w:rPr>
          <w:rFonts w:ascii="宋体" w:hAnsi="宋体" w:cs="宋体"/>
          <w:color w:val="000000"/>
          <w:sz w:val="24"/>
          <w:szCs w:val="24"/>
        </w:rPr>
      </w:pPr>
      <w:r>
        <w:rPr>
          <w:rFonts w:hint="eastAsia" w:ascii="宋体" w:hAnsi="宋体" w:cs="宋体"/>
          <w:color w:val="000000"/>
          <w:sz w:val="24"/>
          <w:szCs w:val="24"/>
        </w:rPr>
        <w:t>（七）甲方有怠于管理和追索其到期债权，或以无偿及其他不适当方式处分现有主要财产等转移财产或其他逃避债务行为的；</w:t>
      </w:r>
    </w:p>
    <w:p w14:paraId="3F79BAB0">
      <w:pPr>
        <w:snapToGrid w:val="0"/>
        <w:spacing w:line="480" w:lineRule="exact"/>
        <w:ind w:firstLine="480" w:firstLineChars="200"/>
        <w:rPr>
          <w:rFonts w:ascii="宋体" w:hAnsi="宋体" w:cs="宋体"/>
          <w:color w:val="000000"/>
          <w:sz w:val="24"/>
          <w:szCs w:val="24"/>
        </w:rPr>
      </w:pPr>
      <w:r>
        <w:rPr>
          <w:rFonts w:hint="eastAsia" w:ascii="宋体" w:hAnsi="宋体" w:cs="宋体"/>
          <w:color w:val="000000"/>
          <w:sz w:val="24"/>
          <w:szCs w:val="24"/>
        </w:rPr>
        <w:t>（八）甲方被依法追究刑事责任或被依法受到其他强制措施或被有关机关采取了限制其某项权利的措施，影响其履行本合同义务的；</w:t>
      </w:r>
    </w:p>
    <w:p w14:paraId="3FEEB193">
      <w:pPr>
        <w:snapToGrid w:val="0"/>
        <w:spacing w:line="480" w:lineRule="exact"/>
        <w:ind w:firstLine="480" w:firstLineChars="200"/>
        <w:rPr>
          <w:rFonts w:ascii="宋体" w:hAnsi="宋体" w:cs="宋体"/>
          <w:color w:val="000000"/>
          <w:sz w:val="24"/>
          <w:szCs w:val="24"/>
        </w:rPr>
      </w:pPr>
      <w:r>
        <w:rPr>
          <w:rFonts w:hint="eastAsia" w:ascii="宋体" w:hAnsi="宋体" w:cs="宋体"/>
          <w:color w:val="000000"/>
          <w:sz w:val="24"/>
          <w:szCs w:val="24"/>
        </w:rPr>
        <w:t>（九）甲方违反本合同其他规定，乙方和丙方依其自主判断认为足以危及本合同项下债权实现的；</w:t>
      </w:r>
    </w:p>
    <w:p w14:paraId="2CFCA0D1">
      <w:pPr>
        <w:snapToGrid w:val="0"/>
        <w:spacing w:line="480" w:lineRule="exact"/>
        <w:ind w:firstLine="480" w:firstLineChars="200"/>
        <w:rPr>
          <w:rFonts w:ascii="宋体" w:hAnsi="宋体" w:cs="宋体"/>
          <w:color w:val="000000"/>
          <w:sz w:val="24"/>
          <w:szCs w:val="24"/>
        </w:rPr>
      </w:pPr>
      <w:r>
        <w:rPr>
          <w:rFonts w:hint="eastAsia" w:ascii="宋体" w:hAnsi="宋体" w:cs="宋体"/>
          <w:color w:val="000000"/>
          <w:sz w:val="24"/>
          <w:szCs w:val="24"/>
        </w:rPr>
        <w:t>（十）抵押人拒不恢复抵押物价值或者不提供与减少的价值相当的担保；</w:t>
      </w:r>
    </w:p>
    <w:p w14:paraId="4B3879CE">
      <w:pPr>
        <w:snapToGrid w:val="0"/>
        <w:spacing w:line="480" w:lineRule="exact"/>
        <w:ind w:firstLine="480" w:firstLineChars="200"/>
        <w:rPr>
          <w:rFonts w:ascii="宋体" w:hAnsi="宋体" w:cs="宋体"/>
          <w:color w:val="FF0000"/>
          <w:sz w:val="24"/>
          <w:szCs w:val="24"/>
        </w:rPr>
      </w:pPr>
      <w:r>
        <w:rPr>
          <w:rFonts w:hint="eastAsia" w:ascii="宋体" w:hAnsi="宋体" w:cs="宋体"/>
          <w:color w:val="000000"/>
          <w:sz w:val="24"/>
          <w:szCs w:val="24"/>
        </w:rPr>
        <w:t>（十一）抵押物发生查封、被他人抵押、转卖、异议登记、设立居住权等导致乙方或丙方无法落实抵押权；</w:t>
      </w:r>
    </w:p>
    <w:p w14:paraId="36CFD642">
      <w:pPr>
        <w:tabs>
          <w:tab w:val="left" w:pos="0"/>
        </w:tabs>
        <w:snapToGrid w:val="0"/>
        <w:spacing w:line="480" w:lineRule="exact"/>
        <w:ind w:left="493"/>
        <w:rPr>
          <w:rFonts w:ascii="宋体" w:hAnsi="宋体" w:cs="宋体"/>
          <w:color w:val="000000"/>
          <w:sz w:val="24"/>
          <w:szCs w:val="24"/>
        </w:rPr>
      </w:pPr>
      <w:r>
        <w:rPr>
          <w:rFonts w:hint="eastAsia" w:ascii="宋体" w:hAnsi="宋体" w:cs="宋体"/>
          <w:color w:val="000000"/>
          <w:sz w:val="24"/>
          <w:szCs w:val="24"/>
        </w:rPr>
        <w:t>（十二）抵押人不提供办理抵押登记所需资料或不配合办理抵押登记，导致</w:t>
      </w:r>
    </w:p>
    <w:p w14:paraId="551226E2">
      <w:pPr>
        <w:tabs>
          <w:tab w:val="left" w:pos="0"/>
        </w:tabs>
        <w:snapToGrid w:val="0"/>
        <w:spacing w:line="480" w:lineRule="exact"/>
        <w:rPr>
          <w:rFonts w:ascii="宋体" w:hAnsi="宋体" w:cs="宋体"/>
          <w:color w:val="000000"/>
          <w:sz w:val="24"/>
          <w:szCs w:val="24"/>
        </w:rPr>
      </w:pPr>
      <w:r>
        <w:rPr>
          <w:rFonts w:hint="eastAsia" w:ascii="宋体" w:hAnsi="宋体" w:cs="宋体"/>
          <w:color w:val="000000"/>
          <w:sz w:val="24"/>
          <w:szCs w:val="24"/>
        </w:rPr>
        <w:t>乙方或丙方无法落实抵押权；</w:t>
      </w:r>
    </w:p>
    <w:p w14:paraId="1081A2CA">
      <w:pPr>
        <w:tabs>
          <w:tab w:val="left" w:pos="0"/>
        </w:tabs>
        <w:snapToGrid w:val="0"/>
        <w:spacing w:line="480" w:lineRule="exact"/>
        <w:ind w:firstLine="480" w:firstLineChars="200"/>
        <w:rPr>
          <w:rFonts w:ascii="宋体" w:hAnsi="宋体" w:cs="宋体"/>
          <w:color w:val="000000"/>
          <w:sz w:val="24"/>
          <w:szCs w:val="24"/>
        </w:rPr>
      </w:pPr>
      <w:r>
        <w:rPr>
          <w:rFonts w:hint="eastAsia" w:ascii="宋体" w:hAnsi="宋体" w:cs="宋体"/>
          <w:color w:val="000000"/>
          <w:sz w:val="24"/>
          <w:szCs w:val="24"/>
        </w:rPr>
        <w:t>（十三）保证人提供虚假财务报告、银行账号等或者拒绝乙方和丙方对其资</w:t>
      </w:r>
    </w:p>
    <w:p w14:paraId="486F5F9A">
      <w:pPr>
        <w:tabs>
          <w:tab w:val="left" w:pos="0"/>
        </w:tabs>
        <w:snapToGrid w:val="0"/>
        <w:spacing w:line="480" w:lineRule="exact"/>
        <w:rPr>
          <w:rFonts w:ascii="宋体" w:hAnsi="宋体" w:cs="宋体"/>
          <w:color w:val="000000"/>
          <w:sz w:val="24"/>
          <w:szCs w:val="24"/>
        </w:rPr>
      </w:pPr>
      <w:r>
        <w:rPr>
          <w:rFonts w:hint="eastAsia" w:ascii="宋体" w:hAnsi="宋体" w:cs="宋体"/>
          <w:color w:val="000000"/>
          <w:sz w:val="24"/>
          <w:szCs w:val="24"/>
        </w:rPr>
        <w:t>金、财产进行监督、检查；</w:t>
      </w:r>
    </w:p>
    <w:p w14:paraId="7CBC1F12">
      <w:pPr>
        <w:snapToGrid w:val="0"/>
        <w:spacing w:line="480" w:lineRule="exact"/>
        <w:ind w:firstLine="480" w:firstLineChars="200"/>
        <w:rPr>
          <w:rFonts w:ascii="宋体" w:hAnsi="宋体" w:cs="宋体"/>
          <w:sz w:val="24"/>
          <w:szCs w:val="24"/>
        </w:rPr>
      </w:pPr>
      <w:r>
        <w:rPr>
          <w:rFonts w:hint="eastAsia" w:ascii="宋体" w:hAnsi="宋体" w:cs="宋体"/>
          <w:color w:val="000000"/>
          <w:sz w:val="24"/>
          <w:szCs w:val="24"/>
        </w:rPr>
        <w:t>（十四）</w:t>
      </w:r>
      <w:r>
        <w:rPr>
          <w:rFonts w:hint="eastAsia" w:ascii="宋体" w:hAnsi="宋体" w:cs="宋体"/>
          <w:sz w:val="24"/>
          <w:szCs w:val="24"/>
        </w:rPr>
        <w:t>保证人重要资产发生转移、被查封、冻结</w:t>
      </w:r>
      <w:bookmarkStart w:id="0" w:name="_GoBack"/>
      <w:bookmarkEnd w:id="0"/>
      <w:r>
        <w:rPr>
          <w:rFonts w:hint="eastAsia" w:ascii="宋体" w:hAnsi="宋体" w:cs="宋体"/>
          <w:sz w:val="24"/>
          <w:szCs w:val="24"/>
        </w:rPr>
        <w:t>或者单位发生变更、撤销等情形，或者丧失担保能力，甲方未能在本合同约定的期限内按乙方和丙方要求的条件提供新的担保；</w:t>
      </w:r>
    </w:p>
    <w:p w14:paraId="7BE91678">
      <w:pPr>
        <w:snapToGrid w:val="0"/>
        <w:spacing w:line="480" w:lineRule="exact"/>
        <w:ind w:firstLine="480" w:firstLineChars="200"/>
        <w:rPr>
          <w:rFonts w:ascii="宋体" w:hAnsi="宋体" w:cs="宋体"/>
          <w:color w:val="FF0000"/>
          <w:sz w:val="24"/>
          <w:szCs w:val="24"/>
          <w:u w:val="single"/>
        </w:rPr>
      </w:pPr>
      <w:r>
        <w:rPr>
          <w:rFonts w:hint="eastAsia" w:ascii="宋体" w:hAnsi="宋体" w:cs="宋体"/>
          <w:sz w:val="24"/>
          <w:szCs w:val="24"/>
        </w:rPr>
        <w:t>（十五）</w:t>
      </w:r>
      <w:r>
        <w:rPr>
          <w:rFonts w:hint="eastAsia" w:ascii="宋体" w:hAnsi="宋体" w:cs="宋体"/>
          <w:color w:val="000000"/>
          <w:sz w:val="24"/>
          <w:szCs w:val="24"/>
        </w:rPr>
        <w:t>甲方或保证人以自有或共有房产设立居住权，乙方或丙方依其自主判断认为可能危及本合同项下债权安全或者实现的。</w:t>
      </w:r>
    </w:p>
    <w:p w14:paraId="6F880617">
      <w:pPr>
        <w:snapToGrid w:val="0"/>
        <w:spacing w:line="480" w:lineRule="exact"/>
        <w:jc w:val="center"/>
        <w:rPr>
          <w:rFonts w:ascii="Times New Roman" w:hAnsi="Times New Roman"/>
          <w:b/>
          <w:sz w:val="24"/>
          <w:szCs w:val="24"/>
        </w:rPr>
      </w:pPr>
    </w:p>
    <w:p w14:paraId="659FB763">
      <w:pPr>
        <w:snapToGrid w:val="0"/>
        <w:spacing w:line="480" w:lineRule="exact"/>
        <w:jc w:val="center"/>
        <w:rPr>
          <w:rFonts w:ascii="Times New Roman" w:hAnsi="Times New Roman"/>
          <w:b/>
          <w:sz w:val="24"/>
          <w:szCs w:val="24"/>
        </w:rPr>
      </w:pPr>
      <w:r>
        <w:rPr>
          <w:rFonts w:hint="eastAsia" w:ascii="Times New Roman" w:hAnsi="Times New Roman"/>
          <w:b/>
          <w:sz w:val="24"/>
          <w:szCs w:val="24"/>
        </w:rPr>
        <w:t>第三章  抵    押</w:t>
      </w:r>
    </w:p>
    <w:p w14:paraId="2167FE26">
      <w:pPr>
        <w:snapToGrid w:val="0"/>
        <w:spacing w:line="480" w:lineRule="exact"/>
        <w:ind w:firstLine="482"/>
        <w:rPr>
          <w:rFonts w:ascii="宋体" w:hAnsi="宋体" w:cs="宋体"/>
          <w:kern w:val="0"/>
          <w:sz w:val="24"/>
          <w:szCs w:val="24"/>
        </w:rPr>
      </w:pPr>
      <w:r>
        <w:rPr>
          <w:rFonts w:hint="eastAsia" w:ascii="Times New Roman" w:hAnsi="Times New Roman"/>
          <w:kern w:val="0"/>
          <w:sz w:val="24"/>
          <w:szCs w:val="24"/>
        </w:rPr>
        <w:t>第十九条　</w:t>
      </w:r>
      <w:r>
        <w:rPr>
          <w:rFonts w:hint="eastAsia" w:ascii="宋体" w:hAnsi="宋体" w:cs="宋体"/>
          <w:kern w:val="0"/>
          <w:sz w:val="24"/>
          <w:szCs w:val="24"/>
        </w:rPr>
        <w:t>抵押人以本合同第一条所载住房抵押给乙方。抵押担保范围为本合同项下借款本金、利息、罚息、违约金、损害赔偿费用及为实现债权和抵押权而产生的费用。</w:t>
      </w:r>
    </w:p>
    <w:p w14:paraId="638ACEAA">
      <w:pPr>
        <w:snapToGrid w:val="0"/>
        <w:spacing w:line="480" w:lineRule="exact"/>
        <w:ind w:firstLine="482"/>
        <w:rPr>
          <w:rFonts w:ascii="宋体" w:hAnsi="宋体" w:cs="宋体"/>
          <w:kern w:val="0"/>
          <w:sz w:val="24"/>
          <w:szCs w:val="24"/>
        </w:rPr>
      </w:pPr>
      <w:r>
        <w:rPr>
          <w:rFonts w:hint="eastAsia" w:ascii="宋体" w:hAnsi="宋体" w:cs="宋体"/>
          <w:kern w:val="0"/>
          <w:sz w:val="24"/>
          <w:szCs w:val="24"/>
        </w:rPr>
        <w:t>甲方申请组合贷款，抵押人以本合同第一条所载住房抵押给丙方，或按住房公积金个人住房贷款与住房商业贷款债权份额以同一顺位抵押给乙方和丙方</w:t>
      </w:r>
      <w:r>
        <w:rPr>
          <w:rFonts w:ascii="宋体" w:hAnsi="宋体" w:cs="宋体"/>
          <w:kern w:val="0"/>
          <w:sz w:val="24"/>
          <w:szCs w:val="24"/>
        </w:rPr>
        <w:t>。</w:t>
      </w:r>
      <w:r>
        <w:rPr>
          <w:rFonts w:hint="eastAsia" w:ascii="宋体" w:hAnsi="宋体" w:cs="宋体"/>
          <w:kern w:val="0"/>
          <w:sz w:val="24"/>
          <w:szCs w:val="24"/>
        </w:rPr>
        <w:t>抵押担保范围为本合同及住房商业借款合同项下借款本金、利息、罚息、违约金、损害赔偿费用及为实现债权和抵押权而产生的费用。住房商业借款合同对抵押担保范围另有约定的，以住房商业借款合同约定为准。甲方违约，涉及处置抵押物的，处置所得由乙方、丙方根据双方约定，按照抵押物处置时组合贷款中住房公积金个人住房贷款与住房商业贷款的债权比例进行分配。在组合贷款全部还清之前，乙方和丙方均不得同意为抵押人解除抵押或提供解除抵押的相关材料，如因乙方或丙方为抵押人解除抵押或提供解除抵押的相关材料，造成损失的，应由过错方赔偿相应损失。</w:t>
      </w:r>
    </w:p>
    <w:p w14:paraId="3CC4923B">
      <w:pPr>
        <w:snapToGrid w:val="0"/>
        <w:spacing w:line="480" w:lineRule="exact"/>
        <w:ind w:firstLine="494" w:firstLineChars="206"/>
        <w:jc w:val="left"/>
        <w:rPr>
          <w:rFonts w:ascii="宋体" w:hAnsi="宋体" w:cs="宋体"/>
          <w:kern w:val="0"/>
          <w:sz w:val="24"/>
          <w:szCs w:val="24"/>
        </w:rPr>
      </w:pPr>
      <w:r>
        <w:rPr>
          <w:rFonts w:hint="eastAsia" w:ascii="Times New Roman" w:hAnsi="Times New Roman"/>
          <w:kern w:val="0"/>
          <w:sz w:val="24"/>
          <w:szCs w:val="24"/>
        </w:rPr>
        <w:t>第二十条　</w:t>
      </w:r>
      <w:r>
        <w:rPr>
          <w:rFonts w:hint="eastAsia" w:ascii="宋体" w:hAnsi="宋体" w:cs="宋体"/>
          <w:kern w:val="0"/>
          <w:sz w:val="24"/>
          <w:szCs w:val="24"/>
        </w:rPr>
        <w:t>抵押人</w:t>
      </w:r>
      <w:r>
        <w:rPr>
          <w:rFonts w:hint="eastAsia" w:ascii="Times New Roman" w:hAnsi="Times New Roman"/>
          <w:kern w:val="0"/>
          <w:sz w:val="24"/>
          <w:szCs w:val="24"/>
        </w:rPr>
        <w:t>对设定抵押的财产，在抵押期间须妥善保管，负有维</w:t>
      </w:r>
      <w:r>
        <w:rPr>
          <w:rFonts w:hint="eastAsia" w:ascii="宋体" w:hAnsi="宋体" w:cs="宋体"/>
          <w:kern w:val="0"/>
          <w:sz w:val="24"/>
          <w:szCs w:val="24"/>
        </w:rPr>
        <w:t>修、保养、保证其完好无</w:t>
      </w:r>
      <w:r>
        <w:rPr>
          <w:rFonts w:hint="eastAsia" w:ascii="Times New Roman" w:hAnsi="Times New Roman"/>
          <w:kern w:val="0"/>
          <w:sz w:val="24"/>
          <w:szCs w:val="24"/>
        </w:rPr>
        <w:t>损的义务，乙方和丙方均有权监督检查。</w:t>
      </w:r>
      <w:r>
        <w:rPr>
          <w:rFonts w:hint="eastAsia" w:ascii="Times New Roman" w:hAnsi="Times New Roman"/>
          <w:b/>
          <w:bCs/>
          <w:kern w:val="0"/>
          <w:sz w:val="24"/>
          <w:szCs w:val="24"/>
        </w:rPr>
        <w:t>抵押人未征得乙方和丙方书面同意，不得擅自转让、 赠与、设立居住权、再抵押或以其他任何不适当的方式处分抵押物。</w:t>
      </w:r>
      <w:r>
        <w:rPr>
          <w:rFonts w:hint="eastAsia" w:ascii="Times New Roman" w:hAnsi="Times New Roman"/>
          <w:kern w:val="0"/>
          <w:sz w:val="24"/>
          <w:szCs w:val="24"/>
        </w:rPr>
        <w:t>抵</w:t>
      </w:r>
      <w:r>
        <w:rPr>
          <w:rFonts w:hint="eastAsia" w:ascii="宋体" w:hAnsi="宋体" w:cs="宋体"/>
          <w:kern w:val="0"/>
          <w:sz w:val="24"/>
          <w:szCs w:val="24"/>
        </w:rPr>
        <w:t>押物价值减少时，抵押人应恢复抵押物的价值或者提供与减少的价值相当的担保。</w:t>
      </w:r>
    </w:p>
    <w:p w14:paraId="0ABAA414">
      <w:pPr>
        <w:snapToGrid w:val="0"/>
        <w:spacing w:line="480" w:lineRule="exact"/>
        <w:ind w:firstLine="494" w:firstLineChars="206"/>
        <w:jc w:val="left"/>
        <w:rPr>
          <w:rFonts w:ascii="Times New Roman" w:hAnsi="Times New Roman"/>
          <w:kern w:val="0"/>
          <w:sz w:val="24"/>
          <w:szCs w:val="24"/>
        </w:rPr>
      </w:pPr>
      <w:r>
        <w:rPr>
          <w:rFonts w:hint="eastAsia" w:ascii="宋体" w:hAnsi="宋体" w:cs="宋体"/>
          <w:kern w:val="0"/>
          <w:sz w:val="24"/>
          <w:szCs w:val="24"/>
        </w:rPr>
        <w:t>第二十一条</w:t>
      </w:r>
      <w:r>
        <w:rPr>
          <w:rFonts w:hint="eastAsia" w:ascii="Times New Roman" w:hAnsi="Times New Roman"/>
          <w:kern w:val="0"/>
          <w:sz w:val="24"/>
          <w:szCs w:val="24"/>
        </w:rPr>
        <w:t xml:space="preserve"> 如本合同项下的借贷关系被确认为不成立、不生效、无效、部分无效、被撤销的，则抵押人对于甲方因返还财产或赔偿损失等而形成的债务在本合同签订时抵押物的价值范围内承担连带责任。如果本合同项下的借贷关系被解除，则抵押人对甲方因返还财产或赔偿损失等而形成的债务继续在本合同约定的担保范围内承担抵押担保责任。</w:t>
      </w:r>
    </w:p>
    <w:p w14:paraId="0D961A3A">
      <w:pPr>
        <w:snapToGrid w:val="0"/>
        <w:spacing w:line="480" w:lineRule="exact"/>
        <w:ind w:firstLine="494" w:firstLineChars="206"/>
        <w:jc w:val="center"/>
        <w:rPr>
          <w:rFonts w:ascii="Times New Roman" w:hAnsi="Times New Roman"/>
          <w:b/>
          <w:kern w:val="0"/>
          <w:sz w:val="24"/>
          <w:szCs w:val="24"/>
        </w:rPr>
      </w:pPr>
    </w:p>
    <w:p w14:paraId="4BE62F9D">
      <w:pPr>
        <w:snapToGrid w:val="0"/>
        <w:spacing w:line="480" w:lineRule="exact"/>
        <w:ind w:firstLine="494" w:firstLineChars="206"/>
        <w:jc w:val="center"/>
        <w:rPr>
          <w:rFonts w:ascii="宋体" w:hAnsi="宋体" w:cs="宋体"/>
          <w:color w:val="FF0000"/>
          <w:kern w:val="0"/>
          <w:sz w:val="24"/>
          <w:szCs w:val="24"/>
        </w:rPr>
      </w:pPr>
      <w:r>
        <w:rPr>
          <w:rFonts w:hint="eastAsia" w:ascii="Times New Roman" w:hAnsi="Times New Roman"/>
          <w:b/>
          <w:kern w:val="0"/>
          <w:sz w:val="24"/>
          <w:szCs w:val="24"/>
        </w:rPr>
        <w:t xml:space="preserve">第四章  </w:t>
      </w:r>
      <w:r>
        <w:rPr>
          <w:rFonts w:hint="eastAsia" w:ascii="宋体" w:hAnsi="宋体" w:cs="宋体"/>
          <w:b/>
          <w:bCs/>
          <w:kern w:val="0"/>
          <w:sz w:val="24"/>
          <w:szCs w:val="24"/>
        </w:rPr>
        <w:t>连 带 责 任 保 证</w:t>
      </w:r>
    </w:p>
    <w:p w14:paraId="69251EAB">
      <w:pPr>
        <w:snapToGrid w:val="0"/>
        <w:spacing w:line="480" w:lineRule="exact"/>
        <w:ind w:firstLine="482"/>
        <w:rPr>
          <w:rFonts w:ascii="宋体" w:hAnsi="宋体" w:cs="宋体"/>
          <w:kern w:val="0"/>
          <w:sz w:val="24"/>
          <w:szCs w:val="24"/>
        </w:rPr>
      </w:pPr>
      <w:r>
        <w:rPr>
          <w:rFonts w:hint="eastAsia" w:ascii="宋体" w:hAnsi="宋体" w:cs="宋体"/>
          <w:color w:val="000000"/>
          <w:kern w:val="0"/>
          <w:sz w:val="24"/>
          <w:szCs w:val="24"/>
        </w:rPr>
        <w:t>第二十二条　</w:t>
      </w:r>
      <w:r>
        <w:rPr>
          <w:rFonts w:hint="eastAsia" w:ascii="宋体" w:hAnsi="宋体" w:cs="宋体"/>
          <w:kern w:val="0"/>
          <w:sz w:val="24"/>
          <w:szCs w:val="24"/>
        </w:rPr>
        <w:t>在抵押登记办妥前，由售房人作为保证人为贷款提供阶段性连带责任保证，售房人无法提供阶段性连带责任保证，由北京市住房贷款担保中心作为保证人提供阶段性连带责任保证。</w:t>
      </w:r>
    </w:p>
    <w:p w14:paraId="43C335CC">
      <w:pPr>
        <w:snapToGrid w:val="0"/>
        <w:spacing w:line="480" w:lineRule="exact"/>
        <w:ind w:firstLine="482"/>
        <w:rPr>
          <w:rFonts w:ascii="宋体" w:hAnsi="宋体" w:cs="宋体"/>
          <w:color w:val="000000"/>
          <w:kern w:val="0"/>
          <w:sz w:val="24"/>
          <w:szCs w:val="24"/>
        </w:rPr>
      </w:pPr>
      <w:r>
        <w:rPr>
          <w:rFonts w:hint="eastAsia" w:ascii="宋体" w:hAnsi="宋体" w:cs="宋体"/>
          <w:kern w:val="0"/>
          <w:sz w:val="24"/>
          <w:szCs w:val="24"/>
        </w:rPr>
        <w:t>甲方申请组合贷款，</w:t>
      </w:r>
      <w:r>
        <w:rPr>
          <w:rFonts w:hint="eastAsia" w:ascii="宋体" w:hAnsi="宋体" w:cs="宋体"/>
          <w:color w:val="000000"/>
          <w:kern w:val="0"/>
          <w:sz w:val="24"/>
          <w:szCs w:val="24"/>
        </w:rPr>
        <w:t>在抵押登记办妥前，由售房人或北京市住房贷款担保中心作为保证人</w:t>
      </w:r>
      <w:r>
        <w:rPr>
          <w:rFonts w:ascii="宋体" w:hAnsi="宋体" w:cs="宋体"/>
          <w:color w:val="000000"/>
          <w:kern w:val="0"/>
          <w:sz w:val="24"/>
          <w:szCs w:val="24"/>
        </w:rPr>
        <w:t>，</w:t>
      </w:r>
      <w:r>
        <w:rPr>
          <w:rFonts w:hint="eastAsia" w:ascii="宋体" w:hAnsi="宋体" w:cs="宋体"/>
          <w:color w:val="000000"/>
          <w:kern w:val="0"/>
          <w:sz w:val="24"/>
          <w:szCs w:val="24"/>
        </w:rPr>
        <w:t>为组合贷款中住房公积金个人住房贷款部分提供阶段性连带责任保证，由丙方认可的保证人为住房商业贷款部分提供阶段性连带责任保证。</w:t>
      </w:r>
    </w:p>
    <w:p w14:paraId="7E578AE5">
      <w:pPr>
        <w:snapToGrid w:val="0"/>
        <w:spacing w:line="480" w:lineRule="exact"/>
        <w:ind w:firstLine="493"/>
        <w:rPr>
          <w:rFonts w:ascii="宋体" w:hAnsi="宋体" w:cs="宋体"/>
          <w:color w:val="000000"/>
          <w:sz w:val="24"/>
          <w:szCs w:val="24"/>
        </w:rPr>
      </w:pPr>
      <w:r>
        <w:rPr>
          <w:rFonts w:hint="eastAsia" w:ascii="宋体" w:hAnsi="宋体" w:cs="宋体"/>
          <w:color w:val="000000"/>
          <w:sz w:val="24"/>
          <w:szCs w:val="24"/>
        </w:rPr>
        <w:t>第二十三条　甲方未按本合同约定的期限偿还借款本息的，乙方和丙方可以要求保证人承</w:t>
      </w:r>
      <w:r>
        <w:rPr>
          <w:rFonts w:hint="eastAsia" w:ascii="宋体" w:hAnsi="宋体" w:cs="宋体"/>
          <w:sz w:val="24"/>
          <w:szCs w:val="24"/>
        </w:rPr>
        <w:t>担连带保证责任，保证担保期自本合同生效之日起至抵押登记办妥且不动产登记证明由乙方或乙方认可的机构收持之日止。保证担保范围为借款本金、利息、罚息、违约金、损害赔偿费用及为实现债权而产生的费用。保证期间为本合同项下借款到期日之日起两年；分期还款的，保证期间按各期还款分别计算，自每期借款到期日起，计至最后一期借款到期之日后两年止。</w:t>
      </w:r>
    </w:p>
    <w:p w14:paraId="4542C1F9">
      <w:pPr>
        <w:snapToGrid w:val="0"/>
        <w:spacing w:line="480" w:lineRule="exact"/>
        <w:ind w:firstLine="493"/>
        <w:rPr>
          <w:rFonts w:ascii="宋体" w:hAnsi="宋体" w:cs="宋体"/>
          <w:color w:val="000000"/>
          <w:sz w:val="24"/>
          <w:szCs w:val="24"/>
        </w:rPr>
      </w:pPr>
      <w:r>
        <w:rPr>
          <w:rFonts w:hint="eastAsia" w:ascii="宋体" w:hAnsi="宋体" w:cs="宋体"/>
          <w:color w:val="000000"/>
          <w:sz w:val="24"/>
          <w:szCs w:val="24"/>
        </w:rPr>
        <w:t>第二十四条　本合同保证人为售房人的，保证期间，乙方和丙方有权对保证人的资金和财产情况进行监督、检查。保证人发生单位变更、撤销或经营亏损等情形，足以影响乙方和丙方权益的，保证人应于变化发生后十日内书面通知乙方和丙方，甲方应按乙方和丙方要求的条件在十日内提供新的担保。</w:t>
      </w:r>
    </w:p>
    <w:p w14:paraId="698FE4E9">
      <w:pPr>
        <w:snapToGrid w:val="0"/>
        <w:spacing w:line="480" w:lineRule="exact"/>
        <w:ind w:firstLine="495"/>
        <w:rPr>
          <w:rFonts w:ascii="宋体" w:hAnsi="宋体" w:cs="宋体"/>
          <w:color w:val="000000"/>
          <w:sz w:val="24"/>
          <w:szCs w:val="24"/>
        </w:rPr>
      </w:pPr>
      <w:r>
        <w:rPr>
          <w:rFonts w:hint="eastAsia" w:ascii="宋体" w:hAnsi="宋体" w:cs="宋体"/>
          <w:color w:val="000000"/>
          <w:sz w:val="24"/>
          <w:szCs w:val="24"/>
        </w:rPr>
        <w:t>第二十五条　贷款出现本合同第十八条约定的情形之一，保证人应当自收到乙方或丙方发出履行保证责任的书面通知之日起十个工作日内履行保证责任，清偿甲方债务。</w:t>
      </w:r>
    </w:p>
    <w:p w14:paraId="226E412F">
      <w:pPr>
        <w:snapToGrid w:val="0"/>
        <w:spacing w:line="480" w:lineRule="exact"/>
        <w:ind w:firstLine="480" w:firstLineChars="200"/>
        <w:rPr>
          <w:rFonts w:ascii="宋体" w:hAnsi="宋体" w:cs="宋体"/>
          <w:color w:val="000000"/>
          <w:sz w:val="24"/>
          <w:szCs w:val="24"/>
        </w:rPr>
      </w:pPr>
      <w:r>
        <w:rPr>
          <w:rFonts w:hint="eastAsia" w:ascii="宋体" w:hAnsi="宋体" w:cs="宋体"/>
          <w:color w:val="000000"/>
          <w:sz w:val="24"/>
          <w:szCs w:val="24"/>
        </w:rPr>
        <w:t xml:space="preserve">第二十六条　保证人履行了保证责任，自代甲方偿还债务之日起有权对甲方进行追偿，并有权为追索代偿款向保证人所在地人民法院提起诉讼。甲方应当按照保证人要求及时偿还代偿款，并承担代偿款项在资金占用期间按中国人民银行规定的贷款逾期利率产生的利息，及保证人为实现债权而产生的诉讼费、保全费、律师代理费等相关费用。 </w:t>
      </w:r>
    </w:p>
    <w:p w14:paraId="15EFE6A6">
      <w:pPr>
        <w:snapToGrid w:val="0"/>
        <w:spacing w:line="480" w:lineRule="exact"/>
        <w:ind w:firstLine="480" w:firstLineChars="200"/>
        <w:rPr>
          <w:rFonts w:ascii="宋体" w:hAnsi="宋体" w:cs="宋体"/>
          <w:color w:val="000000"/>
          <w:sz w:val="24"/>
          <w:szCs w:val="24"/>
        </w:rPr>
      </w:pPr>
      <w:r>
        <w:rPr>
          <w:rFonts w:hint="eastAsia" w:ascii="宋体" w:hAnsi="宋体" w:cs="宋体"/>
          <w:color w:val="000000"/>
          <w:sz w:val="24"/>
          <w:szCs w:val="24"/>
        </w:rPr>
        <w:t>第二十七条　本合同因贷款利率调整而使月最低还款额发生变化，以及根据本合同第二章和本合同第三十条约定作出的变更，无须征得保证人同意。</w:t>
      </w:r>
    </w:p>
    <w:p w14:paraId="5FA3FCB0">
      <w:pPr>
        <w:snapToGrid w:val="0"/>
        <w:spacing w:line="480" w:lineRule="exact"/>
        <w:ind w:firstLine="480" w:firstLineChars="200"/>
        <w:rPr>
          <w:rFonts w:ascii="宋体" w:hAnsi="宋体" w:cs="宋体"/>
          <w:color w:val="000000"/>
          <w:sz w:val="24"/>
          <w:szCs w:val="24"/>
        </w:rPr>
      </w:pPr>
      <w:r>
        <w:rPr>
          <w:rFonts w:hint="eastAsia" w:ascii="宋体" w:hAnsi="宋体" w:cs="宋体"/>
          <w:color w:val="000000"/>
          <w:sz w:val="24"/>
          <w:szCs w:val="24"/>
        </w:rPr>
        <w:t>第二十八条 如本合同项下的借贷关系被确认为不成立、不生效、无效、部分无效、被撤销，则保证人对于甲方因返还财产或赔偿损失等而形成的债务承担连带责任；如果本合同项下的借贷关系被解除，则保证人对甲方因返还财产或赔偿损失等而形成的债务继续在本合同约定的保证范围内承担连带保证责任。</w:t>
      </w:r>
    </w:p>
    <w:p w14:paraId="0FBCB825">
      <w:pPr>
        <w:snapToGrid w:val="0"/>
        <w:spacing w:line="480" w:lineRule="exact"/>
        <w:ind w:firstLine="480" w:firstLineChars="200"/>
        <w:rPr>
          <w:rFonts w:ascii="宋体" w:hAnsi="宋体" w:cs="宋体"/>
          <w:color w:val="FF0000"/>
          <w:sz w:val="24"/>
          <w:szCs w:val="24"/>
          <w:u w:val="single"/>
        </w:rPr>
      </w:pPr>
    </w:p>
    <w:p w14:paraId="34C2F906">
      <w:pPr>
        <w:snapToGrid w:val="0"/>
        <w:spacing w:line="480" w:lineRule="exact"/>
        <w:jc w:val="center"/>
        <w:rPr>
          <w:rFonts w:ascii="宋体" w:hAnsi="宋体" w:cs="宋体"/>
          <w:b/>
          <w:bCs/>
          <w:color w:val="000000"/>
          <w:sz w:val="24"/>
          <w:szCs w:val="24"/>
        </w:rPr>
      </w:pPr>
      <w:r>
        <w:rPr>
          <w:rFonts w:hint="eastAsia" w:ascii="宋体" w:hAnsi="宋体" w:cs="宋体"/>
          <w:b/>
          <w:bCs/>
          <w:color w:val="000000"/>
          <w:sz w:val="24"/>
          <w:szCs w:val="24"/>
        </w:rPr>
        <w:t>第五章　合 同 的 变 更 和 解 除</w:t>
      </w:r>
    </w:p>
    <w:p w14:paraId="3DE735B3">
      <w:pPr>
        <w:snapToGrid w:val="0"/>
        <w:spacing w:line="480" w:lineRule="exact"/>
        <w:ind w:firstLine="480" w:firstLineChars="200"/>
        <w:jc w:val="left"/>
        <w:rPr>
          <w:rFonts w:ascii="宋体" w:hAnsi="宋体" w:cs="宋体"/>
          <w:b/>
          <w:bCs/>
          <w:color w:val="000000"/>
          <w:sz w:val="24"/>
          <w:szCs w:val="24"/>
        </w:rPr>
      </w:pPr>
      <w:r>
        <w:rPr>
          <w:rFonts w:hint="eastAsia" w:ascii="宋体" w:hAnsi="宋体" w:cs="宋体"/>
          <w:color w:val="000000"/>
          <w:sz w:val="24"/>
          <w:szCs w:val="24"/>
        </w:rPr>
        <w:t>第二十九条  本合同生效后，任何一方不得擅自变更和解除。本合同的变更和解除，需经乙方同意后由有关各方达成书面协议，本合同另有约定的除外。</w:t>
      </w:r>
    </w:p>
    <w:p w14:paraId="0CD36237">
      <w:pPr>
        <w:snapToGrid w:val="0"/>
        <w:spacing w:line="480" w:lineRule="exact"/>
        <w:ind w:firstLine="493"/>
        <w:rPr>
          <w:rFonts w:ascii="宋体" w:hAnsi="宋体" w:cs="宋体"/>
          <w:color w:val="000000"/>
          <w:sz w:val="24"/>
          <w:szCs w:val="24"/>
        </w:rPr>
      </w:pPr>
      <w:r>
        <w:rPr>
          <w:rFonts w:hint="eastAsia" w:ascii="宋体" w:hAnsi="宋体" w:cs="宋体"/>
          <w:color w:val="000000"/>
          <w:sz w:val="24"/>
          <w:szCs w:val="24"/>
        </w:rPr>
        <w:t>第三十条　本合同履行期间，甲方死亡、被宣告失踪、被宣告死亡、丧失民事行为能力，其遗产管理人、继承人、受遗赠人、财产代管人、监护人愿意继续履行本合同的，需经乙方同意并签署相关变更协议。</w:t>
      </w:r>
    </w:p>
    <w:p w14:paraId="26342C10">
      <w:pPr>
        <w:snapToGrid w:val="0"/>
        <w:spacing w:line="480" w:lineRule="exact"/>
        <w:ind w:firstLine="493"/>
        <w:rPr>
          <w:rFonts w:ascii="宋体" w:hAnsi="宋体" w:cs="宋体"/>
          <w:color w:val="000000"/>
          <w:sz w:val="24"/>
          <w:szCs w:val="24"/>
        </w:rPr>
      </w:pPr>
      <w:r>
        <w:rPr>
          <w:rFonts w:hint="eastAsia" w:ascii="宋体" w:hAnsi="宋体" w:cs="宋体"/>
          <w:color w:val="000000"/>
          <w:sz w:val="24"/>
          <w:szCs w:val="24"/>
        </w:rPr>
        <w:t xml:space="preserve">第三十一条  </w:t>
      </w:r>
      <w:r>
        <w:rPr>
          <w:rFonts w:hint="eastAsia" w:ascii="宋体" w:hAnsi="宋体" w:cs="宋体"/>
          <w:sz w:val="24"/>
          <w:szCs w:val="24"/>
        </w:rPr>
        <w:t>本合同履行期间，甲方单位、住所、联系方式等事项发生变化，应及时通知乙方或乙方认可的机构，</w:t>
      </w:r>
      <w:r>
        <w:rPr>
          <w:rFonts w:hint="eastAsia" w:ascii="宋体" w:hAnsi="宋体" w:cs="宋体"/>
          <w:color w:val="000000"/>
          <w:sz w:val="24"/>
          <w:szCs w:val="24"/>
        </w:rPr>
        <w:t>甲方还款账户发生变化时，应及时到乙方贷款业务柜台或通过乙方认可的办理渠道办理变更手续，</w:t>
      </w:r>
      <w:r>
        <w:rPr>
          <w:rFonts w:ascii="宋体" w:hAnsi="宋体" w:cs="宋体"/>
          <w:color w:val="000000"/>
          <w:sz w:val="24"/>
          <w:szCs w:val="24"/>
        </w:rPr>
        <w:t>如甲方</w:t>
      </w:r>
      <w:r>
        <w:rPr>
          <w:rFonts w:hint="eastAsia" w:ascii="宋体" w:hAnsi="宋体" w:cs="宋体"/>
          <w:color w:val="000000"/>
          <w:sz w:val="24"/>
          <w:szCs w:val="24"/>
        </w:rPr>
        <w:t>未及时</w:t>
      </w:r>
      <w:r>
        <w:rPr>
          <w:rFonts w:ascii="宋体" w:hAnsi="宋体" w:cs="宋体"/>
          <w:color w:val="000000"/>
          <w:sz w:val="24"/>
          <w:szCs w:val="24"/>
        </w:rPr>
        <w:t>通知乙方或</w:t>
      </w:r>
      <w:r>
        <w:rPr>
          <w:rFonts w:hint="eastAsia" w:ascii="宋体" w:hAnsi="宋体" w:cs="宋体"/>
          <w:color w:val="000000"/>
          <w:sz w:val="24"/>
          <w:szCs w:val="24"/>
        </w:rPr>
        <w:t>乙方</w:t>
      </w:r>
      <w:r>
        <w:rPr>
          <w:rFonts w:ascii="宋体" w:hAnsi="宋体" w:cs="宋体"/>
          <w:color w:val="000000"/>
          <w:sz w:val="24"/>
          <w:szCs w:val="24"/>
        </w:rPr>
        <w:t>认可的机构</w:t>
      </w:r>
      <w:r>
        <w:rPr>
          <w:rFonts w:hint="eastAsia" w:ascii="宋体" w:hAnsi="宋体" w:cs="宋体"/>
          <w:color w:val="000000"/>
          <w:sz w:val="24"/>
          <w:szCs w:val="24"/>
        </w:rPr>
        <w:t>、未</w:t>
      </w:r>
      <w:r>
        <w:rPr>
          <w:rFonts w:ascii="宋体" w:hAnsi="宋体" w:cs="宋体"/>
          <w:color w:val="000000"/>
          <w:sz w:val="24"/>
          <w:szCs w:val="24"/>
        </w:rPr>
        <w:t>办理还款账户变更手续</w:t>
      </w:r>
      <w:r>
        <w:rPr>
          <w:rFonts w:hint="eastAsia" w:ascii="宋体" w:hAnsi="宋体" w:cs="宋体"/>
          <w:color w:val="000000"/>
          <w:sz w:val="24"/>
          <w:szCs w:val="24"/>
        </w:rPr>
        <w:t>，</w:t>
      </w:r>
      <w:r>
        <w:rPr>
          <w:rFonts w:ascii="宋体" w:hAnsi="宋体" w:cs="宋体"/>
          <w:color w:val="000000"/>
          <w:sz w:val="24"/>
          <w:szCs w:val="24"/>
        </w:rPr>
        <w:t>由此造成的借款逾期及其他法律后果由甲方承担</w:t>
      </w:r>
      <w:r>
        <w:rPr>
          <w:rFonts w:hint="eastAsia" w:ascii="宋体" w:hAnsi="宋体" w:cs="宋体"/>
          <w:color w:val="000000"/>
          <w:sz w:val="24"/>
          <w:szCs w:val="24"/>
        </w:rPr>
        <w:t>。</w:t>
      </w:r>
    </w:p>
    <w:p w14:paraId="7B5980B0">
      <w:pPr>
        <w:snapToGrid w:val="0"/>
        <w:spacing w:line="480" w:lineRule="exact"/>
        <w:ind w:firstLine="493"/>
        <w:rPr>
          <w:rFonts w:ascii="宋体" w:hAnsi="宋体" w:cs="宋体"/>
          <w:color w:val="000000"/>
          <w:sz w:val="24"/>
          <w:szCs w:val="24"/>
        </w:rPr>
      </w:pPr>
      <w:r>
        <w:rPr>
          <w:rFonts w:hint="eastAsia" w:ascii="宋体" w:hAnsi="宋体" w:cs="宋体"/>
          <w:color w:val="000000"/>
          <w:sz w:val="24"/>
          <w:szCs w:val="24"/>
        </w:rPr>
        <w:t>第三十二条  本合同履行期间，甲方要求延长借款期限的，应征得乙方的同意；经同意的，应与乙方</w:t>
      </w:r>
      <w:r>
        <w:rPr>
          <w:rFonts w:ascii="宋体" w:hAnsi="宋体" w:cs="宋体"/>
          <w:color w:val="000000"/>
          <w:sz w:val="24"/>
          <w:szCs w:val="24"/>
        </w:rPr>
        <w:t>、丁</w:t>
      </w:r>
      <w:r>
        <w:rPr>
          <w:rFonts w:hint="eastAsia" w:ascii="宋体" w:hAnsi="宋体" w:cs="宋体"/>
          <w:color w:val="000000"/>
          <w:sz w:val="24"/>
          <w:szCs w:val="24"/>
        </w:rPr>
        <w:t>方签订变更协议，载明剩余本金、期限延长后适用的利率、剩余借款期数及据此重新确定的月最低还款额，并通知丙方</w:t>
      </w:r>
      <w:r>
        <w:rPr>
          <w:rFonts w:ascii="宋体" w:hAnsi="宋体" w:cs="宋体"/>
          <w:color w:val="000000"/>
          <w:sz w:val="24"/>
          <w:szCs w:val="24"/>
        </w:rPr>
        <w:t>，丙方予以认可并执行。</w:t>
      </w:r>
    </w:p>
    <w:p w14:paraId="09C2AAD5">
      <w:pPr>
        <w:snapToGrid w:val="0"/>
        <w:spacing w:line="480" w:lineRule="exact"/>
        <w:ind w:firstLine="493"/>
        <w:rPr>
          <w:rFonts w:ascii="宋体" w:hAnsi="宋体" w:cs="宋体"/>
          <w:color w:val="000000"/>
          <w:sz w:val="24"/>
          <w:szCs w:val="24"/>
        </w:rPr>
      </w:pPr>
      <w:r>
        <w:rPr>
          <w:rFonts w:hint="eastAsia" w:ascii="宋体" w:hAnsi="宋体" w:cs="宋体"/>
          <w:color w:val="000000"/>
          <w:sz w:val="24"/>
          <w:szCs w:val="24"/>
        </w:rPr>
        <w:t>第三十三条  甲方拟与售房人解除购房合同或者因住房买卖纠纷拟提起诉讼，应当告知本合同其他各方，经乙方同意后，共同与售房人解决购房款及购房借款本息的处置问题，甲方未经乙方同意擅自解决或者不返还借款的，视为改变借款用途。</w:t>
      </w:r>
    </w:p>
    <w:p w14:paraId="3657BBFA">
      <w:pPr>
        <w:snapToGrid w:val="0"/>
        <w:spacing w:line="480" w:lineRule="exact"/>
        <w:jc w:val="center"/>
        <w:rPr>
          <w:rFonts w:ascii="宋体" w:hAnsi="宋体" w:cs="宋体"/>
          <w:b/>
          <w:bCs/>
          <w:color w:val="000000"/>
          <w:sz w:val="24"/>
          <w:szCs w:val="24"/>
        </w:rPr>
      </w:pPr>
    </w:p>
    <w:p w14:paraId="2E2C5BD4">
      <w:pPr>
        <w:snapToGrid w:val="0"/>
        <w:spacing w:line="480" w:lineRule="exact"/>
        <w:jc w:val="center"/>
        <w:rPr>
          <w:rFonts w:ascii="宋体" w:hAnsi="宋体" w:cs="宋体"/>
          <w:b/>
          <w:bCs/>
          <w:color w:val="000000"/>
          <w:sz w:val="24"/>
          <w:szCs w:val="24"/>
        </w:rPr>
      </w:pPr>
      <w:r>
        <w:rPr>
          <w:rFonts w:hint="eastAsia" w:ascii="宋体" w:hAnsi="宋体" w:cs="宋体"/>
          <w:b/>
          <w:bCs/>
          <w:color w:val="000000"/>
          <w:sz w:val="24"/>
          <w:szCs w:val="24"/>
        </w:rPr>
        <w:t>第六章　违　约　责　任</w:t>
      </w:r>
    </w:p>
    <w:p w14:paraId="22276F0A">
      <w:pPr>
        <w:snapToGrid w:val="0"/>
        <w:spacing w:line="480" w:lineRule="exact"/>
        <w:ind w:left="493"/>
        <w:rPr>
          <w:rFonts w:ascii="宋体" w:hAnsi="宋体" w:cs="宋体"/>
          <w:sz w:val="24"/>
          <w:szCs w:val="24"/>
        </w:rPr>
      </w:pPr>
      <w:r>
        <w:rPr>
          <w:rFonts w:hint="eastAsia" w:ascii="宋体" w:hAnsi="宋体" w:cs="宋体"/>
          <w:color w:val="000000"/>
          <w:sz w:val="24"/>
          <w:szCs w:val="24"/>
        </w:rPr>
        <w:t>第三十四条　甲方违反本合同的约定，改变借款用途，</w:t>
      </w:r>
      <w:r>
        <w:rPr>
          <w:rFonts w:hint="eastAsia" w:ascii="宋体" w:hAnsi="宋体" w:cs="宋体"/>
          <w:sz w:val="24"/>
          <w:szCs w:val="24"/>
        </w:rPr>
        <w:t>套</w:t>
      </w:r>
      <w:r>
        <w:rPr>
          <w:rFonts w:hint="eastAsia" w:ascii="宋体" w:hAnsi="宋体" w:cs="宋体"/>
          <w:color w:val="000000"/>
          <w:sz w:val="24"/>
          <w:szCs w:val="24"/>
        </w:rPr>
        <w:t>取借款资金</w:t>
      </w:r>
      <w:r>
        <w:rPr>
          <w:rFonts w:hint="eastAsia" w:ascii="宋体" w:hAnsi="宋体" w:cs="宋体"/>
          <w:sz w:val="24"/>
          <w:szCs w:val="24"/>
        </w:rPr>
        <w:t>用于其</w:t>
      </w:r>
    </w:p>
    <w:p w14:paraId="10138175">
      <w:pPr>
        <w:snapToGrid w:val="0"/>
        <w:spacing w:line="480" w:lineRule="exact"/>
        <w:rPr>
          <w:rFonts w:ascii="宋体" w:hAnsi="宋体" w:cs="宋体"/>
          <w:sz w:val="24"/>
          <w:szCs w:val="24"/>
        </w:rPr>
      </w:pPr>
      <w:r>
        <w:rPr>
          <w:rFonts w:hint="eastAsia" w:ascii="宋体" w:hAnsi="宋体" w:cs="宋体"/>
          <w:sz w:val="24"/>
          <w:szCs w:val="24"/>
        </w:rPr>
        <w:t>他用途，</w:t>
      </w:r>
      <w:r>
        <w:rPr>
          <w:rFonts w:hint="eastAsia" w:ascii="宋体" w:hAnsi="宋体" w:cs="宋体"/>
          <w:color w:val="000000"/>
          <w:sz w:val="24"/>
          <w:szCs w:val="24"/>
        </w:rPr>
        <w:t>乙方和丙方有权提前收回借款</w:t>
      </w:r>
      <w:r>
        <w:rPr>
          <w:rFonts w:hint="eastAsia" w:ascii="宋体" w:hAnsi="宋体" w:cs="宋体"/>
          <w:sz w:val="24"/>
          <w:szCs w:val="24"/>
        </w:rPr>
        <w:t>，并按中国人民银行规定对违约使用部分计收罚息，罚息利率</w:t>
      </w:r>
      <w:r>
        <w:rPr>
          <w:rFonts w:ascii="宋体" w:hAnsi="宋体" w:cs="宋体"/>
          <w:sz w:val="24"/>
          <w:szCs w:val="24"/>
        </w:rPr>
        <w:t>为</w:t>
      </w:r>
      <w:r>
        <w:rPr>
          <w:rFonts w:hint="eastAsia" w:ascii="宋体" w:hAnsi="宋体" w:cs="宋体"/>
          <w:sz w:val="24"/>
          <w:szCs w:val="24"/>
        </w:rPr>
        <w:t>本合同第三条载明的贷款利率水平上</w:t>
      </w:r>
      <w:r>
        <w:rPr>
          <w:rFonts w:ascii="宋体" w:hAnsi="宋体" w:cs="宋体"/>
          <w:sz w:val="24"/>
          <w:szCs w:val="24"/>
        </w:rPr>
        <w:t>加收</w:t>
      </w:r>
      <w:r>
        <w:rPr>
          <w:rFonts w:hint="eastAsia" w:ascii="宋体" w:hAnsi="宋体" w:cs="宋体"/>
          <w:sz w:val="24"/>
          <w:szCs w:val="24"/>
        </w:rPr>
        <w:t>100％。</w:t>
      </w:r>
    </w:p>
    <w:p w14:paraId="73388272">
      <w:pPr>
        <w:snapToGrid w:val="0"/>
        <w:spacing w:line="480" w:lineRule="exact"/>
        <w:ind w:firstLine="482"/>
        <w:rPr>
          <w:rFonts w:ascii="宋体" w:hAnsi="宋体" w:cs="宋体"/>
          <w:sz w:val="24"/>
          <w:szCs w:val="24"/>
        </w:rPr>
      </w:pPr>
      <w:r>
        <w:rPr>
          <w:rFonts w:hint="eastAsia" w:ascii="宋体" w:hAnsi="宋体" w:cs="宋体"/>
          <w:sz w:val="24"/>
          <w:szCs w:val="24"/>
        </w:rPr>
        <w:t>第三十五条　甲方违反本合同约定，逾期还款的，乙方和丙方有权对甲方违约部分，按中国人民银行规定计收罚息，罚息利率</w:t>
      </w:r>
      <w:r>
        <w:rPr>
          <w:rFonts w:ascii="宋体" w:hAnsi="宋体" w:cs="宋体"/>
          <w:sz w:val="24"/>
          <w:szCs w:val="24"/>
        </w:rPr>
        <w:t>为</w:t>
      </w:r>
      <w:r>
        <w:rPr>
          <w:rFonts w:hint="eastAsia" w:ascii="宋体" w:hAnsi="宋体" w:cs="宋体"/>
          <w:sz w:val="24"/>
          <w:szCs w:val="24"/>
        </w:rPr>
        <w:t>本合同第三条载明的贷款利率水平上</w:t>
      </w:r>
      <w:r>
        <w:rPr>
          <w:rFonts w:ascii="宋体" w:hAnsi="宋体" w:cs="宋体"/>
          <w:sz w:val="24"/>
          <w:szCs w:val="24"/>
        </w:rPr>
        <w:t>加收50</w:t>
      </w:r>
      <w:r>
        <w:rPr>
          <w:rFonts w:hint="eastAsia" w:ascii="宋体" w:hAnsi="宋体" w:cs="宋体"/>
          <w:sz w:val="24"/>
          <w:szCs w:val="24"/>
        </w:rPr>
        <w:t>％。</w:t>
      </w:r>
    </w:p>
    <w:p w14:paraId="62399871">
      <w:pPr>
        <w:snapToGrid w:val="0"/>
        <w:spacing w:line="480" w:lineRule="exact"/>
        <w:ind w:firstLine="482"/>
        <w:rPr>
          <w:rFonts w:ascii="宋体" w:hAnsi="宋体" w:cs="宋体"/>
          <w:sz w:val="24"/>
          <w:szCs w:val="24"/>
        </w:rPr>
      </w:pPr>
      <w:r>
        <w:rPr>
          <w:rFonts w:hint="eastAsia" w:ascii="宋体" w:hAnsi="宋体" w:cs="宋体"/>
          <w:sz w:val="24"/>
          <w:szCs w:val="24"/>
        </w:rPr>
        <w:t>第三十六条　贷款出现本合同第十八条约定</w:t>
      </w:r>
      <w:r>
        <w:rPr>
          <w:rFonts w:hint="eastAsia" w:ascii="宋体" w:hAnsi="宋体" w:cs="宋体"/>
          <w:color w:val="000000"/>
          <w:sz w:val="24"/>
          <w:szCs w:val="24"/>
        </w:rPr>
        <w:t>的情形之一时，甲方、丁方同意乙方或丙方将其违约行为记入乙方不良信息库并上传至信用信息征管机构，甲方、丁方同意乙方或丙方将其信息提供给乙方的资产管理方北京市住房贷款担保中心及其委托的催收机构。甲方、丁方同意乙方、丙方或其委托的催收机构通过信函、电话、短信、微信、上门等方式进行通知、催收，并同意乙方、丙方或其委托的催收机构从其他机构获取其最新的联系方式。甲方同意乙方委</w:t>
      </w:r>
      <w:r>
        <w:rPr>
          <w:rFonts w:hint="eastAsia" w:ascii="宋体" w:hAnsi="宋体" w:cs="宋体"/>
          <w:sz w:val="24"/>
          <w:szCs w:val="24"/>
        </w:rPr>
        <w:t xml:space="preserve">托丙方从甲方开立在丙方的部分或全部账户中扣划到期未还的借款本金、利息、罚息及实现债权的费用。 </w:t>
      </w:r>
    </w:p>
    <w:p w14:paraId="62E06945">
      <w:pPr>
        <w:snapToGrid w:val="0"/>
        <w:spacing w:line="480" w:lineRule="exact"/>
        <w:ind w:firstLine="482"/>
        <w:rPr>
          <w:rFonts w:ascii="宋体" w:hAnsi="宋体" w:cs="宋体"/>
          <w:color w:val="000000"/>
          <w:sz w:val="24"/>
          <w:szCs w:val="24"/>
        </w:rPr>
      </w:pPr>
      <w:r>
        <w:rPr>
          <w:rFonts w:hint="eastAsia" w:ascii="宋体" w:hAnsi="宋体" w:cs="宋体"/>
          <w:color w:val="000000"/>
          <w:sz w:val="24"/>
          <w:szCs w:val="24"/>
        </w:rPr>
        <w:t>第三十七条　甲方出现违约行为，无论其违反本合同还是违反组合贷款中住房商业贷款部分所签订的借款合同，只要该违约行为符合上述任一合同中提前清偿债务或合同提前到期的条件，乙方或丙方均有权要求甲方全部清偿组合贷款，组合贷款住房公积金个人住房贷款部分与住房商业贷款部分各自担保人应按照约定承担担保责任。</w:t>
      </w:r>
    </w:p>
    <w:p w14:paraId="2EB9406E">
      <w:pPr>
        <w:snapToGrid w:val="0"/>
        <w:spacing w:line="480" w:lineRule="exact"/>
        <w:jc w:val="center"/>
        <w:rPr>
          <w:rFonts w:ascii="宋体" w:hAnsi="宋体" w:cs="宋体"/>
          <w:b/>
          <w:bCs/>
          <w:color w:val="000000"/>
          <w:sz w:val="24"/>
          <w:szCs w:val="24"/>
        </w:rPr>
      </w:pPr>
    </w:p>
    <w:p w14:paraId="1C702DC5">
      <w:pPr>
        <w:snapToGrid w:val="0"/>
        <w:spacing w:line="480" w:lineRule="exact"/>
        <w:jc w:val="center"/>
        <w:rPr>
          <w:rFonts w:ascii="宋体" w:hAnsi="宋体" w:cs="宋体"/>
          <w:b/>
          <w:bCs/>
          <w:color w:val="000000"/>
          <w:sz w:val="24"/>
          <w:szCs w:val="24"/>
        </w:rPr>
      </w:pPr>
      <w:r>
        <w:rPr>
          <w:rFonts w:hint="eastAsia" w:ascii="宋体" w:hAnsi="宋体" w:cs="宋体"/>
          <w:b/>
          <w:bCs/>
          <w:color w:val="000000"/>
          <w:sz w:val="24"/>
          <w:szCs w:val="24"/>
        </w:rPr>
        <w:t>第七章  合 同 的 生 效 与 争 议 的 解 决</w:t>
      </w:r>
    </w:p>
    <w:p w14:paraId="288C00BB">
      <w:pPr>
        <w:snapToGrid w:val="0"/>
        <w:spacing w:line="480" w:lineRule="exact"/>
        <w:ind w:firstLine="493"/>
        <w:rPr>
          <w:rFonts w:ascii="宋体" w:hAnsi="宋体" w:cs="宋体"/>
          <w:sz w:val="24"/>
          <w:szCs w:val="24"/>
        </w:rPr>
      </w:pPr>
      <w:r>
        <w:rPr>
          <w:rFonts w:hint="eastAsia" w:ascii="宋体" w:hAnsi="宋体" w:cs="宋体"/>
          <w:color w:val="000000"/>
          <w:sz w:val="24"/>
          <w:szCs w:val="24"/>
        </w:rPr>
        <w:t>第三十八条　本合同须甲方签字，乙方、丙方盖章，丁方签字/盖章（抵押人签字，保证人盖章），自合同项下借款划付之日起生效。合同任何一方具备条件的，可采用电子印章、电子签名的方式进行盖章、签字，各方一致认可此种签订形式下合同的法律效力。甲方同意乙方在本合同生效后，将甲方的贷款相关信息向中国人民银行征信中心等征信机构报</w:t>
      </w:r>
      <w:r>
        <w:rPr>
          <w:rFonts w:hint="eastAsia" w:ascii="宋体" w:hAnsi="宋体" w:cs="宋体"/>
          <w:sz w:val="24"/>
          <w:szCs w:val="24"/>
        </w:rPr>
        <w:t>送。</w:t>
      </w:r>
    </w:p>
    <w:p w14:paraId="0D304802">
      <w:pPr>
        <w:snapToGrid w:val="0"/>
        <w:spacing w:line="480" w:lineRule="exact"/>
        <w:ind w:firstLine="493"/>
        <w:rPr>
          <w:rFonts w:ascii="宋体" w:hAnsi="宋体" w:cs="宋体"/>
          <w:color w:val="000000"/>
          <w:sz w:val="24"/>
          <w:szCs w:val="24"/>
        </w:rPr>
      </w:pPr>
      <w:r>
        <w:rPr>
          <w:rFonts w:hint="eastAsia" w:ascii="宋体" w:hAnsi="宋体" w:cs="宋体"/>
          <w:color w:val="000000"/>
          <w:sz w:val="24"/>
          <w:szCs w:val="24"/>
        </w:rPr>
        <w:t>第三十九条　因履行本合同发生争议，经协商无法达成一致意见时，</w:t>
      </w:r>
      <w:r>
        <w:rPr>
          <w:rFonts w:ascii="宋体" w:hAnsi="宋体" w:cs="宋体"/>
          <w:color w:val="000000"/>
          <w:sz w:val="24"/>
          <w:szCs w:val="24"/>
        </w:rPr>
        <w:t>由乙方委托的资产管理方北京市住房贷款担保中心所在地的人民法院诉讼解决。</w:t>
      </w:r>
      <w:r>
        <w:rPr>
          <w:rFonts w:hint="eastAsia" w:ascii="宋体" w:hAnsi="宋体" w:cs="宋体"/>
          <w:color w:val="000000"/>
          <w:sz w:val="24"/>
          <w:szCs w:val="24"/>
        </w:rPr>
        <w:t>对于甲方办理组合贷款的，也可由丙方所在地人民法院诉讼解决。各方认可</w:t>
      </w:r>
      <w:r>
        <w:rPr>
          <w:rFonts w:ascii="宋体" w:hAnsi="宋体" w:cs="宋体"/>
          <w:color w:val="000000"/>
          <w:sz w:val="24"/>
          <w:szCs w:val="24"/>
        </w:rPr>
        <w:t>，乙方与丙方均有权</w:t>
      </w:r>
      <w:r>
        <w:rPr>
          <w:rFonts w:hint="eastAsia" w:ascii="宋体" w:hAnsi="宋体" w:cs="宋体"/>
          <w:color w:val="000000"/>
          <w:sz w:val="24"/>
          <w:szCs w:val="24"/>
        </w:rPr>
        <w:t>以各自</w:t>
      </w:r>
      <w:r>
        <w:rPr>
          <w:rFonts w:ascii="宋体" w:hAnsi="宋体" w:cs="宋体"/>
          <w:color w:val="000000"/>
          <w:sz w:val="24"/>
          <w:szCs w:val="24"/>
        </w:rPr>
        <w:t>的名义为原告，起诉追索本合同项下债权。</w:t>
      </w:r>
    </w:p>
    <w:p w14:paraId="222565EC">
      <w:pPr>
        <w:snapToGrid w:val="0"/>
        <w:spacing w:line="480" w:lineRule="exact"/>
        <w:jc w:val="center"/>
        <w:rPr>
          <w:rFonts w:ascii="宋体" w:hAnsi="宋体" w:cs="宋体"/>
          <w:b/>
          <w:bCs/>
          <w:color w:val="000000"/>
          <w:sz w:val="24"/>
          <w:szCs w:val="24"/>
        </w:rPr>
      </w:pPr>
    </w:p>
    <w:p w14:paraId="511ADC6F">
      <w:pPr>
        <w:snapToGrid w:val="0"/>
        <w:spacing w:line="480" w:lineRule="exact"/>
        <w:jc w:val="center"/>
        <w:rPr>
          <w:rFonts w:ascii="宋体" w:hAnsi="宋体" w:cs="宋体"/>
          <w:b/>
          <w:bCs/>
          <w:color w:val="000000"/>
          <w:sz w:val="24"/>
          <w:szCs w:val="24"/>
        </w:rPr>
      </w:pPr>
      <w:r>
        <w:rPr>
          <w:rFonts w:hint="eastAsia" w:ascii="宋体" w:hAnsi="宋体" w:cs="宋体"/>
          <w:b/>
          <w:bCs/>
          <w:color w:val="000000"/>
          <w:sz w:val="24"/>
          <w:szCs w:val="24"/>
        </w:rPr>
        <w:t>第八章　附　则</w:t>
      </w:r>
    </w:p>
    <w:p w14:paraId="4C9BB114">
      <w:pPr>
        <w:snapToGrid w:val="0"/>
        <w:spacing w:line="480" w:lineRule="exact"/>
        <w:ind w:firstLine="480"/>
        <w:rPr>
          <w:rFonts w:ascii="宋体" w:hAnsi="宋体" w:cs="宋体"/>
          <w:color w:val="000000"/>
          <w:sz w:val="24"/>
          <w:szCs w:val="24"/>
        </w:rPr>
      </w:pPr>
      <w:r>
        <w:rPr>
          <w:rFonts w:hint="eastAsia" w:ascii="宋体" w:hAnsi="宋体" w:cs="宋体"/>
          <w:color w:val="000000"/>
          <w:kern w:val="0"/>
          <w:sz w:val="24"/>
          <w:szCs w:val="24"/>
        </w:rPr>
        <w:t xml:space="preserve">第四十条 </w:t>
      </w:r>
      <w:r>
        <w:rPr>
          <w:rFonts w:hint="eastAsia" w:ascii="宋体" w:hAnsi="宋体" w:cs="宋体"/>
          <w:color w:val="000000"/>
          <w:sz w:val="24"/>
          <w:szCs w:val="24"/>
        </w:rPr>
        <w:t>甲方、丁方同意并授权乙方或丙方收集、存储甲方、丁方在办理本业务过程中主动提供或因使用服务而产生的个人信息。甲方、丁方同意并授权乙方或丙方可将上述信息用于贷前审查、贷款审批、贷后管理、纠纷处理等管理服务事项，甲方、丁方同意并授权乙方向丙方提供乙方获取的甲方、丁方个人信息。甲方、丁方同意并授权乙方通过政务信息共享等渠道依法向其他政府部门共享乙方获取的甲方、丁方个人信息。</w:t>
      </w:r>
    </w:p>
    <w:p w14:paraId="18B98C52">
      <w:pPr>
        <w:snapToGrid w:val="0"/>
        <w:spacing w:line="480" w:lineRule="exact"/>
        <w:ind w:firstLine="480"/>
        <w:rPr>
          <w:rFonts w:ascii="宋体" w:hAnsi="宋体" w:cs="宋体"/>
          <w:color w:val="000000"/>
          <w:sz w:val="24"/>
          <w:szCs w:val="24"/>
        </w:rPr>
      </w:pPr>
      <w:r>
        <w:rPr>
          <w:rFonts w:hint="eastAsia" w:ascii="宋体" w:hAnsi="宋体" w:cs="宋体"/>
          <w:color w:val="000000"/>
          <w:sz w:val="24"/>
          <w:szCs w:val="24"/>
        </w:rPr>
        <w:t>上述个人信息的范围包括甲方、丁方的个人基本资料、人脸面部生物信息、个人身份信息、个人教育工作信息、个人财产信息、个人公积金信息等。</w:t>
      </w:r>
    </w:p>
    <w:p w14:paraId="7317DF1A">
      <w:pPr>
        <w:snapToGrid w:val="0"/>
        <w:spacing w:line="480" w:lineRule="exact"/>
        <w:ind w:firstLine="480"/>
        <w:rPr>
          <w:rFonts w:ascii="宋体" w:hAnsi="宋体" w:cs="宋体"/>
          <w:color w:val="000000"/>
          <w:sz w:val="24"/>
          <w:szCs w:val="24"/>
        </w:rPr>
      </w:pPr>
      <w:r>
        <w:rPr>
          <w:rFonts w:hint="eastAsia" w:ascii="宋体" w:hAnsi="宋体" w:cs="宋体"/>
          <w:color w:val="000000"/>
          <w:sz w:val="24"/>
          <w:szCs w:val="24"/>
        </w:rPr>
        <w:t>对于甲方、丁方同意乙方处理的个人信息，乙方将按照法律法规、监管规定及与甲方、丁方的约定开展信息处理行为，并采取相应的安全措施保护甲方、丁方的个人信息。</w:t>
      </w:r>
    </w:p>
    <w:p w14:paraId="7D157795">
      <w:pPr>
        <w:snapToGrid w:val="0"/>
        <w:spacing w:line="480" w:lineRule="exact"/>
        <w:ind w:firstLine="480"/>
        <w:rPr>
          <w:rFonts w:ascii="宋体" w:hAnsi="宋体" w:cs="宋体"/>
          <w:color w:val="000000"/>
          <w:kern w:val="0"/>
          <w:sz w:val="24"/>
          <w:szCs w:val="24"/>
        </w:rPr>
      </w:pPr>
      <w:r>
        <w:rPr>
          <w:rFonts w:hint="eastAsia" w:ascii="宋体" w:hAnsi="宋体" w:cs="宋体"/>
          <w:color w:val="000000"/>
          <w:sz w:val="24"/>
          <w:szCs w:val="24"/>
        </w:rPr>
        <w:t>第四十一条 乙方</w:t>
      </w:r>
      <w:r>
        <w:rPr>
          <w:rFonts w:hint="eastAsia" w:ascii="宋体" w:hAnsi="宋体" w:cs="宋体"/>
          <w:color w:val="000000"/>
          <w:kern w:val="0"/>
          <w:sz w:val="24"/>
          <w:szCs w:val="24"/>
        </w:rPr>
        <w:t>或丙方向甲方、丁方发出的任何书面通知，甲方的送达地址以其借款申请表中申请时住址或其通知的变更后的地址为准，其日期的计算均从乙方或丙方将该通知交付邮寄之日起，若以直接送达方式，以甲方、丁方实际签收为实际送达。</w:t>
      </w:r>
    </w:p>
    <w:p w14:paraId="36FFF2DF">
      <w:pPr>
        <w:snapToGrid w:val="0"/>
        <w:spacing w:line="480" w:lineRule="exact"/>
        <w:ind w:firstLine="480"/>
        <w:rPr>
          <w:rFonts w:ascii="宋体" w:hAnsi="宋体" w:cs="宋体"/>
          <w:color w:val="000000"/>
          <w:sz w:val="24"/>
          <w:szCs w:val="24"/>
        </w:rPr>
      </w:pPr>
      <w:r>
        <w:rPr>
          <w:rFonts w:hint="eastAsia" w:ascii="宋体" w:hAnsi="宋体" w:cs="宋体"/>
          <w:color w:val="000000"/>
          <w:sz w:val="24"/>
          <w:szCs w:val="24"/>
        </w:rPr>
        <w:t>乙方发生需通知甲方、丁方事项时，除采用书面方式通知外，乙方也有权采用在乙方的办公地点、官方网站、“北京公积金”APP、官方微信公众号等发布通知或者公告的方式通知。</w:t>
      </w:r>
    </w:p>
    <w:p w14:paraId="711864DA">
      <w:pPr>
        <w:snapToGrid w:val="0"/>
        <w:spacing w:line="480" w:lineRule="exact"/>
        <w:ind w:firstLine="480"/>
        <w:rPr>
          <w:rFonts w:ascii="宋体" w:hAnsi="宋体" w:cs="宋体"/>
          <w:kern w:val="0"/>
          <w:sz w:val="24"/>
          <w:szCs w:val="24"/>
        </w:rPr>
      </w:pPr>
      <w:r>
        <w:rPr>
          <w:rFonts w:hint="eastAsia" w:ascii="宋体" w:hAnsi="宋体" w:cs="宋体"/>
          <w:kern w:val="0"/>
          <w:sz w:val="24"/>
          <w:szCs w:val="24"/>
        </w:rPr>
        <w:t>对于甲方要求丙方邮寄本合同的，丙方通过EMS快递方式将本合同按照甲方提供的地址邮寄送达甲方，不论是否甲方本人签收或签收与否，都视为送达有效。甲方不能以未收到本合同为由，不履行本合同约定的甲方义务。</w:t>
      </w:r>
    </w:p>
    <w:p w14:paraId="024BCE52">
      <w:pPr>
        <w:snapToGrid w:val="0"/>
        <w:spacing w:line="480" w:lineRule="exact"/>
        <w:ind w:firstLine="480"/>
        <w:rPr>
          <w:rFonts w:ascii="宋体" w:hAnsi="宋体" w:cs="宋体"/>
          <w:kern w:val="0"/>
          <w:sz w:val="24"/>
          <w:szCs w:val="24"/>
        </w:rPr>
      </w:pPr>
      <w:r>
        <w:rPr>
          <w:rFonts w:hint="eastAsia" w:ascii="宋体" w:hAnsi="宋体" w:cs="宋体"/>
          <w:kern w:val="0"/>
          <w:sz w:val="24"/>
          <w:szCs w:val="24"/>
        </w:rPr>
        <w:t>乙方有权向甲方《住房公积金个人住房贷款借款申请表》中填写的手机号码或其通知变更后的手机号码，发送短信息进行放款或还款提醒，但该短信息的发送不构成乙方的义务</w:t>
      </w:r>
      <w:r>
        <w:rPr>
          <w:rFonts w:ascii="宋体" w:hAnsi="宋体" w:cs="宋体"/>
          <w:kern w:val="0"/>
          <w:sz w:val="24"/>
          <w:szCs w:val="24"/>
        </w:rPr>
        <w:t>，</w:t>
      </w:r>
      <w:r>
        <w:rPr>
          <w:rFonts w:hint="eastAsia" w:ascii="宋体" w:hAnsi="宋体" w:cs="宋体"/>
          <w:kern w:val="0"/>
          <w:sz w:val="24"/>
          <w:szCs w:val="24"/>
        </w:rPr>
        <w:t>无论乙方是否发送该短信息或甲方是否收到该短信息，甲方均不能以未收到提示信息为由，不履行本合同约定的还款义务。</w:t>
      </w:r>
    </w:p>
    <w:p w14:paraId="5DE38E25">
      <w:pPr>
        <w:snapToGrid w:val="0"/>
        <w:spacing w:line="480" w:lineRule="exact"/>
        <w:ind w:firstLine="480"/>
        <w:rPr>
          <w:rFonts w:ascii="宋体" w:hAnsi="宋体" w:cs="宋体"/>
          <w:sz w:val="24"/>
          <w:szCs w:val="24"/>
        </w:rPr>
      </w:pPr>
      <w:r>
        <w:rPr>
          <w:rFonts w:hint="eastAsia" w:ascii="宋体" w:hAnsi="宋体" w:cs="宋体"/>
          <w:sz w:val="24"/>
          <w:szCs w:val="24"/>
        </w:rPr>
        <w:t>第四十二条  本合同所称实现债权和抵押权的费用指：</w:t>
      </w:r>
    </w:p>
    <w:p w14:paraId="5D278C9C">
      <w:pPr>
        <w:snapToGrid w:val="0"/>
        <w:spacing w:line="480" w:lineRule="exact"/>
        <w:ind w:firstLine="480"/>
        <w:rPr>
          <w:rFonts w:ascii="宋体" w:hAnsi="宋体" w:cs="宋体"/>
          <w:sz w:val="24"/>
          <w:szCs w:val="24"/>
        </w:rPr>
      </w:pPr>
      <w:r>
        <w:rPr>
          <w:rFonts w:hint="eastAsia" w:ascii="宋体" w:hAnsi="宋体" w:cs="宋体"/>
          <w:sz w:val="24"/>
          <w:szCs w:val="24"/>
        </w:rPr>
        <w:t>（一）为取得和保护债权、抵押权而支出的各种费用；</w:t>
      </w:r>
    </w:p>
    <w:p w14:paraId="0F8D2CCC">
      <w:pPr>
        <w:snapToGrid w:val="0"/>
        <w:spacing w:line="480" w:lineRule="exact"/>
        <w:ind w:firstLine="480"/>
        <w:rPr>
          <w:rFonts w:ascii="宋体" w:hAnsi="宋体" w:cs="宋体"/>
          <w:sz w:val="24"/>
          <w:szCs w:val="24"/>
        </w:rPr>
      </w:pPr>
      <w:r>
        <w:rPr>
          <w:rFonts w:hint="eastAsia" w:ascii="宋体" w:hAnsi="宋体" w:cs="宋体"/>
          <w:sz w:val="24"/>
          <w:szCs w:val="24"/>
        </w:rPr>
        <w:t>（二）为实现债权、抵押权而支付的律师费、诉讼费、评估费、鉴定费、拍卖费、差旅费等。</w:t>
      </w:r>
    </w:p>
    <w:p w14:paraId="06525AEE">
      <w:pPr>
        <w:snapToGrid w:val="0"/>
        <w:spacing w:line="480" w:lineRule="exact"/>
        <w:ind w:firstLine="480" w:firstLineChars="200"/>
        <w:rPr>
          <w:rFonts w:ascii="宋体" w:hAnsi="宋体" w:cs="宋体"/>
          <w:kern w:val="0"/>
          <w:sz w:val="24"/>
          <w:szCs w:val="24"/>
        </w:rPr>
      </w:pPr>
      <w:r>
        <w:rPr>
          <w:rFonts w:hint="eastAsia" w:ascii="宋体" w:hAnsi="宋体" w:cs="宋体"/>
          <w:kern w:val="0"/>
          <w:sz w:val="24"/>
          <w:szCs w:val="24"/>
        </w:rPr>
        <w:t>第四十三条  本合同</w:t>
      </w:r>
      <w:r>
        <w:rPr>
          <w:rFonts w:hint="eastAsia" w:ascii="宋体" w:hAnsi="宋体" w:cs="宋体"/>
          <w:sz w:val="24"/>
          <w:szCs w:val="24"/>
        </w:rPr>
        <w:t>一式四份，甲、</w:t>
      </w:r>
      <w:r>
        <w:rPr>
          <w:rFonts w:hint="eastAsia" w:ascii="宋体" w:hAnsi="宋体" w:cs="宋体"/>
          <w:kern w:val="0"/>
          <w:sz w:val="24"/>
          <w:szCs w:val="24"/>
        </w:rPr>
        <w:t>乙、丙、丁各执一份，具有同等法律效力。</w:t>
      </w:r>
    </w:p>
    <w:p w14:paraId="123E5452">
      <w:pPr>
        <w:snapToGrid w:val="0"/>
        <w:spacing w:line="480" w:lineRule="exact"/>
        <w:ind w:firstLine="480" w:firstLineChars="200"/>
        <w:rPr>
          <w:rFonts w:ascii="宋体" w:hAnsi="宋体" w:cs="宋体"/>
          <w:sz w:val="24"/>
          <w:szCs w:val="24"/>
        </w:rPr>
      </w:pPr>
      <w:r>
        <w:rPr>
          <w:rFonts w:hint="eastAsia" w:ascii="宋体" w:hAnsi="宋体" w:cs="宋体"/>
          <w:sz w:val="24"/>
          <w:szCs w:val="24"/>
        </w:rPr>
        <w:t>第四十四条　其他约定事项</w:t>
      </w:r>
    </w:p>
    <w:p w14:paraId="04357D72">
      <w:pPr>
        <w:snapToGrid w:val="0"/>
        <w:spacing w:line="480" w:lineRule="exact"/>
        <w:rPr>
          <w:rFonts w:ascii="宋体" w:hAnsi="宋体" w:cs="宋体"/>
          <w:b/>
          <w:sz w:val="24"/>
          <w:szCs w:val="24"/>
        </w:rPr>
      </w:pPr>
    </w:p>
    <w:p w14:paraId="1FC19022">
      <w:pPr>
        <w:snapToGrid w:val="0"/>
        <w:spacing w:line="480" w:lineRule="exact"/>
        <w:rPr>
          <w:rFonts w:ascii="宋体" w:hAnsi="宋体" w:cs="宋体"/>
          <w:b/>
          <w:sz w:val="24"/>
          <w:szCs w:val="24"/>
        </w:rPr>
      </w:pPr>
    </w:p>
    <w:p w14:paraId="4C1F0BEE">
      <w:pPr>
        <w:snapToGrid w:val="0"/>
        <w:spacing w:line="480" w:lineRule="exact"/>
        <w:rPr>
          <w:rFonts w:ascii="宋体" w:hAnsi="宋体" w:cs="宋体"/>
          <w:b/>
          <w:sz w:val="24"/>
          <w:szCs w:val="24"/>
        </w:rPr>
      </w:pPr>
    </w:p>
    <w:p w14:paraId="52846EB1">
      <w:pPr>
        <w:snapToGrid w:val="0"/>
        <w:spacing w:line="480" w:lineRule="exact"/>
        <w:rPr>
          <w:rFonts w:hint="eastAsia" w:ascii="宋体" w:hAnsi="宋体" w:cs="宋体"/>
          <w:b/>
          <w:sz w:val="24"/>
          <w:szCs w:val="24"/>
        </w:rPr>
      </w:pPr>
    </w:p>
    <w:p w14:paraId="7CA6D545">
      <w:pPr>
        <w:snapToGrid w:val="0"/>
        <w:spacing w:line="480" w:lineRule="exact"/>
        <w:rPr>
          <w:rFonts w:ascii="宋体" w:hAnsi="宋体" w:cs="宋体"/>
          <w:b/>
          <w:sz w:val="24"/>
          <w:szCs w:val="24"/>
        </w:rPr>
      </w:pPr>
      <w:r>
        <w:rPr>
          <w:rFonts w:hint="eastAsia" w:ascii="宋体" w:hAnsi="宋体" w:cs="宋体"/>
          <w:b/>
          <w:sz w:val="24"/>
          <w:szCs w:val="24"/>
        </w:rPr>
        <w:t>甲方领取本合同方式：</w:t>
      </w:r>
    </w:p>
    <w:p w14:paraId="7DE7949F">
      <w:pPr>
        <w:snapToGrid w:val="0"/>
        <w:spacing w:line="480" w:lineRule="exact"/>
        <w:rPr>
          <w:rFonts w:ascii="宋体" w:hAnsi="宋体" w:cs="宋体"/>
          <w:b/>
          <w:sz w:val="24"/>
          <w:szCs w:val="24"/>
        </w:rPr>
      </w:pPr>
      <w:r>
        <w:rPr>
          <w:rFonts w:hint="eastAsia" w:ascii="宋体" w:hAnsi="宋体" w:cs="宋体"/>
          <w:b/>
          <w:sz w:val="24"/>
          <w:szCs w:val="24"/>
        </w:rPr>
        <w:t>□至丙方柜面领取  □由丙方邮寄送达</w:t>
      </w:r>
    </w:p>
    <w:p w14:paraId="398C5077">
      <w:pPr>
        <w:snapToGrid w:val="0"/>
        <w:spacing w:line="480" w:lineRule="exact"/>
        <w:ind w:firstLine="480" w:firstLineChars="200"/>
        <w:rPr>
          <w:rFonts w:ascii="宋体" w:hAnsi="宋体" w:cs="宋体"/>
          <w:color w:val="000000"/>
          <w:sz w:val="24"/>
          <w:szCs w:val="24"/>
        </w:rPr>
      </w:pPr>
    </w:p>
    <w:p w14:paraId="6AC44906">
      <w:pPr>
        <w:snapToGrid w:val="0"/>
        <w:spacing w:line="480" w:lineRule="exact"/>
        <w:ind w:firstLine="480" w:firstLineChars="200"/>
        <w:rPr>
          <w:rFonts w:ascii="宋体" w:hAnsi="宋体" w:cs="宋体"/>
          <w:color w:val="000000"/>
          <w:sz w:val="24"/>
          <w:szCs w:val="24"/>
        </w:rPr>
      </w:pPr>
      <w:r>
        <w:rPr>
          <w:rFonts w:hint="eastAsia" w:ascii="宋体" w:hAnsi="宋体" w:cs="宋体"/>
          <w:color w:val="000000"/>
          <w:sz w:val="24"/>
          <w:szCs w:val="24"/>
        </w:rPr>
        <w:t xml:space="preserve">甲方签字：                       乙方盖章： </w:t>
      </w:r>
    </w:p>
    <w:p w14:paraId="546287C8">
      <w:pPr>
        <w:snapToGrid w:val="0"/>
        <w:spacing w:line="480" w:lineRule="exact"/>
        <w:ind w:firstLine="360" w:firstLineChars="200"/>
        <w:rPr>
          <w:rFonts w:ascii="宋体" w:hAnsi="宋体" w:cs="宋体"/>
          <w:b/>
          <w:color w:val="000000"/>
          <w:sz w:val="18"/>
          <w:szCs w:val="18"/>
        </w:rPr>
      </w:pPr>
    </w:p>
    <w:p w14:paraId="6B26A933">
      <w:pPr>
        <w:snapToGrid w:val="0"/>
        <w:spacing w:line="480" w:lineRule="exact"/>
        <w:ind w:firstLine="360" w:firstLineChars="200"/>
        <w:rPr>
          <w:rFonts w:ascii="宋体" w:hAnsi="宋体" w:cs="宋体"/>
          <w:b/>
          <w:color w:val="000000"/>
          <w:sz w:val="18"/>
          <w:szCs w:val="18"/>
        </w:rPr>
      </w:pPr>
    </w:p>
    <w:p w14:paraId="7D335614">
      <w:pPr>
        <w:snapToGrid w:val="0"/>
        <w:spacing w:line="480" w:lineRule="exact"/>
        <w:rPr>
          <w:rFonts w:ascii="宋体" w:hAnsi="宋体" w:cs="宋体"/>
          <w:b/>
          <w:color w:val="000000"/>
          <w:sz w:val="18"/>
          <w:szCs w:val="18"/>
        </w:rPr>
      </w:pPr>
      <w:r>
        <w:rPr>
          <w:rFonts w:hint="eastAsia" w:ascii="宋体" w:hAnsi="宋体" w:cs="宋体"/>
          <w:b/>
          <w:color w:val="000000"/>
          <w:sz w:val="18"/>
          <w:szCs w:val="18"/>
        </w:rPr>
        <w:t>甲方签字，表明甲方已确认</w:t>
      </w:r>
      <w:r>
        <w:rPr>
          <w:rFonts w:ascii="宋体" w:hAnsi="宋体" w:cs="宋体"/>
          <w:b/>
          <w:color w:val="000000"/>
          <w:sz w:val="18"/>
          <w:szCs w:val="18"/>
        </w:rPr>
        <w:t>本合同</w:t>
      </w:r>
      <w:r>
        <w:rPr>
          <w:rFonts w:hint="eastAsia" w:ascii="宋体" w:hAnsi="宋体" w:cs="宋体"/>
          <w:b/>
          <w:color w:val="000000"/>
          <w:sz w:val="18"/>
          <w:szCs w:val="18"/>
        </w:rPr>
        <w:t>各</w:t>
      </w:r>
    </w:p>
    <w:p w14:paraId="7DC977CE">
      <w:pPr>
        <w:snapToGrid w:val="0"/>
        <w:spacing w:line="480" w:lineRule="exact"/>
        <w:rPr>
          <w:rFonts w:ascii="宋体" w:hAnsi="宋体" w:cs="宋体"/>
          <w:b/>
          <w:color w:val="000000"/>
          <w:sz w:val="18"/>
          <w:szCs w:val="18"/>
        </w:rPr>
      </w:pPr>
      <w:r>
        <w:rPr>
          <w:rFonts w:hint="eastAsia" w:ascii="宋体" w:hAnsi="宋体" w:cs="宋体"/>
          <w:b/>
          <w:color w:val="000000"/>
          <w:sz w:val="18"/>
          <w:szCs w:val="18"/>
        </w:rPr>
        <w:t>项条款，并已充分理解</w:t>
      </w:r>
      <w:r>
        <w:rPr>
          <w:rFonts w:ascii="宋体" w:hAnsi="宋体" w:cs="宋体"/>
          <w:b/>
          <w:color w:val="000000"/>
          <w:sz w:val="18"/>
          <w:szCs w:val="18"/>
        </w:rPr>
        <w:t>关于</w:t>
      </w:r>
      <w:r>
        <w:rPr>
          <w:rFonts w:hint="eastAsia" w:ascii="宋体" w:hAnsi="宋体" w:cs="宋体"/>
          <w:b/>
          <w:color w:val="000000"/>
          <w:sz w:val="18"/>
          <w:szCs w:val="18"/>
        </w:rPr>
        <w:t>还款日期、</w:t>
      </w:r>
    </w:p>
    <w:p w14:paraId="2C694405">
      <w:pPr>
        <w:snapToGrid w:val="0"/>
        <w:spacing w:line="480" w:lineRule="exact"/>
        <w:rPr>
          <w:rFonts w:ascii="宋体" w:hAnsi="宋体" w:cs="宋体"/>
          <w:b/>
          <w:color w:val="000000"/>
          <w:sz w:val="18"/>
          <w:szCs w:val="18"/>
        </w:rPr>
      </w:pPr>
      <w:r>
        <w:rPr>
          <w:rFonts w:hint="eastAsia" w:ascii="宋体" w:hAnsi="宋体" w:cs="宋体"/>
          <w:b/>
          <w:color w:val="000000"/>
          <w:sz w:val="18"/>
          <w:szCs w:val="18"/>
        </w:rPr>
        <w:t>月还款额、还款规则等还款注意事项。</w:t>
      </w:r>
    </w:p>
    <w:p w14:paraId="3373D2C5">
      <w:pPr>
        <w:snapToGrid w:val="0"/>
        <w:spacing w:line="480" w:lineRule="exact"/>
        <w:ind w:firstLine="480" w:firstLineChars="200"/>
        <w:rPr>
          <w:rFonts w:ascii="宋体" w:hAnsi="宋体" w:cs="宋体"/>
          <w:color w:val="000000"/>
          <w:sz w:val="24"/>
          <w:szCs w:val="24"/>
        </w:rPr>
      </w:pPr>
    </w:p>
    <w:p w14:paraId="073F0148">
      <w:pPr>
        <w:snapToGrid w:val="0"/>
        <w:spacing w:line="480" w:lineRule="exact"/>
        <w:ind w:firstLine="480" w:firstLineChars="200"/>
        <w:rPr>
          <w:rFonts w:ascii="宋体" w:hAnsi="宋体" w:cs="宋体"/>
          <w:color w:val="000000"/>
          <w:sz w:val="24"/>
          <w:szCs w:val="24"/>
        </w:rPr>
      </w:pPr>
    </w:p>
    <w:p w14:paraId="6AD3506B">
      <w:pPr>
        <w:snapToGrid w:val="0"/>
        <w:spacing w:line="480" w:lineRule="exact"/>
        <w:ind w:firstLine="480" w:firstLineChars="200"/>
        <w:rPr>
          <w:rFonts w:ascii="宋体" w:hAnsi="宋体" w:cs="宋体"/>
          <w:color w:val="000000"/>
          <w:sz w:val="24"/>
          <w:szCs w:val="24"/>
        </w:rPr>
      </w:pPr>
    </w:p>
    <w:p w14:paraId="4D1B6469">
      <w:pPr>
        <w:snapToGrid w:val="0"/>
        <w:spacing w:line="480" w:lineRule="exact"/>
        <w:ind w:firstLine="480" w:firstLineChars="200"/>
        <w:rPr>
          <w:rFonts w:ascii="宋体" w:hAnsi="宋体" w:cs="宋体"/>
          <w:color w:val="000000"/>
          <w:sz w:val="24"/>
          <w:szCs w:val="24"/>
        </w:rPr>
      </w:pPr>
      <w:r>
        <w:rPr>
          <w:rFonts w:hint="eastAsia" w:ascii="宋体" w:hAnsi="宋体" w:cs="宋体"/>
          <w:color w:val="000000"/>
          <w:sz w:val="24"/>
          <w:szCs w:val="24"/>
        </w:rPr>
        <w:t xml:space="preserve">丙方盖章：                    </w:t>
      </w:r>
      <w:r>
        <w:rPr>
          <w:rFonts w:ascii="宋体" w:hAnsi="宋体" w:cs="宋体"/>
          <w:color w:val="000000"/>
          <w:sz w:val="24"/>
          <w:szCs w:val="24"/>
        </w:rPr>
        <w:t xml:space="preserve">  </w:t>
      </w:r>
      <w:r>
        <w:rPr>
          <w:rFonts w:hint="eastAsia" w:ascii="宋体" w:hAnsi="宋体" w:cs="宋体"/>
          <w:color w:val="000000"/>
          <w:sz w:val="24"/>
          <w:szCs w:val="24"/>
        </w:rPr>
        <w:t>丁方签章：</w:t>
      </w:r>
      <w:r>
        <w:rPr>
          <w:rFonts w:hint="eastAsia" w:ascii="宋体" w:hAnsi="宋体" w:cs="宋体"/>
          <w:iCs/>
          <w:color w:val="000000"/>
          <w:sz w:val="24"/>
          <w:szCs w:val="24"/>
        </w:rPr>
        <w:t>抵押人签字：</w:t>
      </w:r>
    </w:p>
    <w:p w14:paraId="57C6E191">
      <w:pPr>
        <w:snapToGrid w:val="0"/>
        <w:spacing w:line="480" w:lineRule="exact"/>
        <w:ind w:firstLine="4320" w:firstLineChars="1800"/>
        <w:rPr>
          <w:rFonts w:ascii="宋体" w:hAnsi="宋体" w:cs="宋体"/>
          <w:color w:val="000000"/>
          <w:sz w:val="24"/>
          <w:szCs w:val="24"/>
        </w:rPr>
      </w:pPr>
    </w:p>
    <w:p w14:paraId="49ED3272">
      <w:pPr>
        <w:snapToGrid w:val="0"/>
        <w:spacing w:line="480" w:lineRule="exact"/>
        <w:ind w:firstLine="5520" w:firstLineChars="2300"/>
        <w:rPr>
          <w:rFonts w:ascii="宋体" w:hAnsi="宋体" w:cs="宋体"/>
          <w:iCs/>
          <w:color w:val="000000"/>
          <w:sz w:val="24"/>
          <w:szCs w:val="24"/>
        </w:rPr>
      </w:pPr>
      <w:r>
        <w:rPr>
          <w:rFonts w:hint="eastAsia" w:ascii="宋体" w:hAnsi="宋体" w:cs="宋体"/>
          <w:iCs/>
          <w:color w:val="000000"/>
          <w:sz w:val="24"/>
          <w:szCs w:val="24"/>
        </w:rPr>
        <w:t xml:space="preserve">保证人盖章：  </w:t>
      </w:r>
    </w:p>
    <w:p w14:paraId="54DAB885">
      <w:pPr>
        <w:snapToGrid w:val="0"/>
        <w:spacing w:line="480" w:lineRule="exact"/>
        <w:ind w:firstLine="1560" w:firstLineChars="650"/>
        <w:rPr>
          <w:rFonts w:ascii="宋体" w:hAnsi="宋体" w:cs="宋体"/>
          <w:color w:val="000000"/>
          <w:sz w:val="24"/>
          <w:szCs w:val="24"/>
        </w:rPr>
      </w:pPr>
    </w:p>
    <w:p w14:paraId="4C5ADDF5">
      <w:pPr>
        <w:snapToGrid w:val="0"/>
        <w:spacing w:line="480" w:lineRule="exact"/>
        <w:ind w:firstLine="1560" w:firstLineChars="650"/>
        <w:rPr>
          <w:rFonts w:ascii="宋体" w:hAnsi="宋体" w:cs="宋体"/>
          <w:color w:val="000000"/>
          <w:sz w:val="24"/>
          <w:szCs w:val="24"/>
        </w:rPr>
      </w:pPr>
    </w:p>
    <w:p w14:paraId="62C54305">
      <w:pPr>
        <w:snapToGrid w:val="0"/>
        <w:spacing w:line="480" w:lineRule="exact"/>
        <w:ind w:firstLine="1560" w:firstLineChars="650"/>
        <w:rPr>
          <w:rFonts w:ascii="宋体" w:hAnsi="宋体" w:cs="宋体"/>
          <w:color w:val="000000"/>
          <w:sz w:val="24"/>
          <w:szCs w:val="24"/>
        </w:rPr>
      </w:pPr>
    </w:p>
    <w:p w14:paraId="0D7A6922">
      <w:pPr>
        <w:snapToGrid w:val="0"/>
        <w:spacing w:line="480" w:lineRule="exact"/>
        <w:ind w:firstLine="1680" w:firstLineChars="700"/>
        <w:jc w:val="right"/>
        <w:rPr>
          <w:rFonts w:ascii="宋体" w:hAnsi="宋体" w:cs="宋体"/>
          <w:color w:val="000000"/>
          <w:sz w:val="24"/>
          <w:szCs w:val="24"/>
        </w:rPr>
      </w:pPr>
      <w:r>
        <w:rPr>
          <w:rFonts w:hint="eastAsia" w:ascii="宋体" w:hAnsi="宋体" w:cs="宋体"/>
          <w:color w:val="000000"/>
          <w:sz w:val="24"/>
          <w:szCs w:val="24"/>
        </w:rPr>
        <w:t xml:space="preserve">合同签署日期： </w:t>
      </w:r>
      <w:r>
        <w:rPr>
          <w:rFonts w:ascii="宋体" w:hAnsi="宋体" w:cs="宋体"/>
          <w:color w:val="000000"/>
          <w:sz w:val="24"/>
          <w:szCs w:val="24"/>
        </w:rPr>
        <w:t xml:space="preserve">           </w:t>
      </w:r>
      <w:r>
        <w:rPr>
          <w:rFonts w:hint="eastAsia" w:ascii="宋体" w:hAnsi="宋体" w:cs="宋体"/>
          <w:color w:val="000000"/>
          <w:sz w:val="24"/>
          <w:szCs w:val="24"/>
        </w:rPr>
        <w:t xml:space="preserve">年 </w:t>
      </w:r>
      <w:r>
        <w:rPr>
          <w:rFonts w:ascii="宋体" w:hAnsi="宋体" w:cs="宋体"/>
          <w:color w:val="000000"/>
          <w:sz w:val="24"/>
          <w:szCs w:val="24"/>
        </w:rPr>
        <w:t xml:space="preserve">   </w:t>
      </w:r>
      <w:r>
        <w:rPr>
          <w:rFonts w:hint="eastAsia" w:ascii="宋体" w:hAnsi="宋体" w:cs="宋体"/>
          <w:color w:val="000000"/>
          <w:sz w:val="24"/>
          <w:szCs w:val="24"/>
        </w:rPr>
        <w:t xml:space="preserve">  月 </w:t>
      </w:r>
      <w:r>
        <w:rPr>
          <w:rFonts w:ascii="宋体" w:hAnsi="宋体" w:cs="宋体"/>
          <w:color w:val="000000"/>
          <w:sz w:val="24"/>
          <w:szCs w:val="24"/>
        </w:rPr>
        <w:t xml:space="preserve">  </w:t>
      </w:r>
      <w:r>
        <w:rPr>
          <w:rFonts w:hint="eastAsia" w:ascii="宋体" w:hAnsi="宋体" w:cs="宋体"/>
          <w:color w:val="000000"/>
          <w:sz w:val="24"/>
          <w:szCs w:val="24"/>
        </w:rPr>
        <w:t xml:space="preserve">   日</w:t>
      </w:r>
    </w:p>
    <w:p w14:paraId="62C11E00">
      <w:pPr>
        <w:widowControl/>
        <w:jc w:val="left"/>
        <w:rPr>
          <w:rFonts w:hint="eastAsia" w:ascii="仿宋_GB2312" w:eastAsia="仿宋_GB2312"/>
          <w:sz w:val="32"/>
          <w:szCs w:val="32"/>
        </w:rPr>
        <w:sectPr>
          <w:headerReference r:id="rId5" w:type="default"/>
          <w:footerReference r:id="rId6" w:type="default"/>
          <w:footerReference r:id="rId7" w:type="even"/>
          <w:pgSz w:w="11906" w:h="16838"/>
          <w:pgMar w:top="1134" w:right="1701" w:bottom="1134" w:left="1701" w:header="851" w:footer="992" w:gutter="0"/>
          <w:pgNumType w:fmt="numberInDash"/>
          <w:cols w:space="720" w:num="1"/>
          <w:docGrid w:type="linesAndChars" w:linePitch="312" w:charSpace="0"/>
        </w:sectPr>
      </w:pPr>
    </w:p>
    <w:p w14:paraId="2D89D18E">
      <w:pPr>
        <w:widowControl/>
        <w:jc w:val="left"/>
        <w:rPr>
          <w:rFonts w:hint="eastAsia" w:ascii="仿宋_GB2312" w:eastAsia="仿宋_GB2312"/>
          <w:sz w:val="32"/>
          <w:szCs w:val="32"/>
        </w:rPr>
      </w:pPr>
    </w:p>
    <w:sectPr>
      <w:footerReference r:id="rId8" w:type="default"/>
      <w:footerReference r:id="rId9" w:type="even"/>
      <w:pgSz w:w="11906" w:h="16838"/>
      <w:pgMar w:top="720" w:right="720" w:bottom="720" w:left="720" w:header="567" w:footer="992" w:gutter="0"/>
      <w:pgNumType w:fmt="numberInDash"/>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7FB049">
    <w:pPr>
      <w:pStyle w:val="9"/>
      <w:ind w:right="360" w:firstLine="360"/>
    </w:pPr>
    <w:r>
      <w:rPr>
        <w:lang w:val="en-US"/>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B33371">
                          <w:pPr>
                            <w:pStyle w:val="9"/>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- 11 -</w:t>
                          </w:r>
                          <w:r>
                            <w:rPr>
                              <w:rFonts w:hint="eastAsia" w:ascii="宋体" w:hAnsi="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14:paraId="1CB33371">
                    <w:pPr>
                      <w:pStyle w:val="9"/>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- 11 -</w:t>
                    </w:r>
                    <w:r>
                      <w:rPr>
                        <w:rFonts w:hint="eastAsia" w:ascii="宋体" w:hAnsi="宋体" w:cs="宋体"/>
                        <w:sz w:val="28"/>
                        <w:szCs w:val="2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A92CC4">
    <w:pPr>
      <w:pStyle w:val="9"/>
      <w:ind w:right="360" w:firstLine="360"/>
    </w:pPr>
    <w:r>
      <w:rPr>
        <w:lang w:val="en-US"/>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3FD79C">
                          <w:pPr>
                            <w:pStyle w:val="9"/>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- 10 -</w:t>
                          </w:r>
                          <w:r>
                            <w:rPr>
                              <w:rFonts w:hint="eastAsia" w:ascii="宋体" w:hAnsi="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14:paraId="693FD79C">
                    <w:pPr>
                      <w:pStyle w:val="9"/>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- 10 -</w:t>
                    </w:r>
                    <w:r>
                      <w:rPr>
                        <w:rFonts w:hint="eastAsia" w:ascii="宋体" w:hAnsi="宋体" w:cs="宋体"/>
                        <w:sz w:val="28"/>
                        <w:szCs w:val="2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364CB1">
    <w:pPr>
      <w:pStyle w:val="9"/>
      <w:ind w:right="360" w:firstLine="360"/>
    </w:pPr>
    <w:r>
      <w:rPr>
        <w:lang w:val="en-US"/>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530037">
                          <w:pPr>
                            <w:pStyle w:val="9"/>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- 13 -</w:t>
                          </w:r>
                          <w:r>
                            <w:rPr>
                              <w:rFonts w:hint="eastAsia" w:ascii="宋体" w:hAnsi="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14:paraId="39530037">
                    <w:pPr>
                      <w:pStyle w:val="9"/>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- 13 -</w:t>
                    </w:r>
                    <w:r>
                      <w:rPr>
                        <w:rFonts w:hint="eastAsia" w:ascii="宋体" w:hAnsi="宋体" w:cs="宋体"/>
                        <w:sz w:val="28"/>
                        <w:szCs w:val="2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B67477">
    <w:pPr>
      <w:pStyle w:val="9"/>
      <w:ind w:right="360" w:firstLine="360"/>
    </w:pPr>
    <w:r>
      <w:rPr>
        <w:lang w:val="en-US"/>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494FF9">
                          <w:pPr>
                            <w:pStyle w:val="9"/>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- 16 -</w:t>
                          </w:r>
                          <w:r>
                            <w:rPr>
                              <w:rFonts w:hint="eastAsia" w:ascii="宋体" w:hAnsi="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OguJYs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g6C4liwCAABXBAAADgAAAAAAAAABACAAAAAfAQAAZHJzL2Uyb0RvYy54bWxQSwUGAAAAAAYA&#10;BgBZAQAAvQUAAAAA&#10;">
              <v:fill on="f" focussize="0,0"/>
              <v:stroke on="f" weight="0.5pt"/>
              <v:imagedata o:title=""/>
              <o:lock v:ext="edit" aspectratio="f"/>
              <v:textbox inset="0mm,0mm,0mm,0mm" style="mso-fit-shape-to-text:t;">
                <w:txbxContent>
                  <w:p w14:paraId="70494FF9">
                    <w:pPr>
                      <w:pStyle w:val="9"/>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- 16 -</w:t>
                    </w:r>
                    <w:r>
                      <w:rPr>
                        <w:rFonts w:hint="eastAsia" w:ascii="宋体" w:hAnsi="宋体" w:cs="宋体"/>
                        <w:sz w:val="28"/>
                        <w:szCs w:val="2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981CB8">
    <w:pPr>
      <w:pStyle w:val="10"/>
      <w:pBdr>
        <w:bottom w:val="none" w:color="auto" w:sz="0" w:space="1"/>
      </w:pBdr>
    </w:pPr>
    <w:r>
      <w:rPr>
        <w:rFonts w:hint="eastAsia"/>
      </w:rPr>
      <w:t xml:space="preserve">                                              </w:t>
    </w:r>
  </w:p>
  <w:p w14:paraId="1AB8B7FC">
    <w:pPr>
      <w:pStyle w:val="10"/>
      <w:pBdr>
        <w:bottom w:val="none" w:color="auto" w:sz="0" w:space="1"/>
      </w:pBdr>
    </w:pP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2C5BD6">
    <w:pPr>
      <w:pStyle w:val="10"/>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7DB7AD">
    <w:pPr>
      <w:pStyle w:val="10"/>
      <w:pBdr>
        <w:bottom w:val="none" w:color="auto" w:sz="0" w:space="1"/>
      </w:pBdr>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evenAndOddHeaders w:val="1"/>
  <w:drawingGridHorizontalSpacing w:val="105"/>
  <w:drawingGridVerticalSpacing w:val="145"/>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7F6F"/>
    <w:rsid w:val="000008E5"/>
    <w:rsid w:val="000021E7"/>
    <w:rsid w:val="00007CAC"/>
    <w:rsid w:val="00014BCA"/>
    <w:rsid w:val="0001591F"/>
    <w:rsid w:val="0001768F"/>
    <w:rsid w:val="000212FC"/>
    <w:rsid w:val="00021743"/>
    <w:rsid w:val="000236EE"/>
    <w:rsid w:val="00031B86"/>
    <w:rsid w:val="0003251D"/>
    <w:rsid w:val="000333CC"/>
    <w:rsid w:val="000334B5"/>
    <w:rsid w:val="00034E58"/>
    <w:rsid w:val="00035862"/>
    <w:rsid w:val="00041850"/>
    <w:rsid w:val="000432D5"/>
    <w:rsid w:val="000530FB"/>
    <w:rsid w:val="00055A03"/>
    <w:rsid w:val="00055A67"/>
    <w:rsid w:val="00055D24"/>
    <w:rsid w:val="00056AB4"/>
    <w:rsid w:val="000577B8"/>
    <w:rsid w:val="00057ABB"/>
    <w:rsid w:val="00067F2C"/>
    <w:rsid w:val="0007033F"/>
    <w:rsid w:val="00072DF6"/>
    <w:rsid w:val="00076A0D"/>
    <w:rsid w:val="00080499"/>
    <w:rsid w:val="00080CB4"/>
    <w:rsid w:val="00080DF7"/>
    <w:rsid w:val="00082C36"/>
    <w:rsid w:val="000853E4"/>
    <w:rsid w:val="000900A0"/>
    <w:rsid w:val="00091BA9"/>
    <w:rsid w:val="00096247"/>
    <w:rsid w:val="0009652B"/>
    <w:rsid w:val="00097AD4"/>
    <w:rsid w:val="000A0F11"/>
    <w:rsid w:val="000A260C"/>
    <w:rsid w:val="000A482E"/>
    <w:rsid w:val="000A5646"/>
    <w:rsid w:val="000A7E76"/>
    <w:rsid w:val="000B48DD"/>
    <w:rsid w:val="000B5A26"/>
    <w:rsid w:val="000B6B7F"/>
    <w:rsid w:val="000C0192"/>
    <w:rsid w:val="000C2F08"/>
    <w:rsid w:val="000C5207"/>
    <w:rsid w:val="000C62E5"/>
    <w:rsid w:val="000D3400"/>
    <w:rsid w:val="000E121E"/>
    <w:rsid w:val="000E2E54"/>
    <w:rsid w:val="000E41BB"/>
    <w:rsid w:val="000F0735"/>
    <w:rsid w:val="000F32EB"/>
    <w:rsid w:val="000F3EC8"/>
    <w:rsid w:val="000F49CF"/>
    <w:rsid w:val="000F5DD7"/>
    <w:rsid w:val="000F73FE"/>
    <w:rsid w:val="001014C6"/>
    <w:rsid w:val="00103E7E"/>
    <w:rsid w:val="00104D8E"/>
    <w:rsid w:val="001068A7"/>
    <w:rsid w:val="00113E6A"/>
    <w:rsid w:val="00114985"/>
    <w:rsid w:val="001161D1"/>
    <w:rsid w:val="00116A3B"/>
    <w:rsid w:val="0012034B"/>
    <w:rsid w:val="001225C7"/>
    <w:rsid w:val="001228AD"/>
    <w:rsid w:val="00125C93"/>
    <w:rsid w:val="00127421"/>
    <w:rsid w:val="00130ED2"/>
    <w:rsid w:val="0013156B"/>
    <w:rsid w:val="00131BF0"/>
    <w:rsid w:val="00131E20"/>
    <w:rsid w:val="001330F1"/>
    <w:rsid w:val="00134B5E"/>
    <w:rsid w:val="00135E76"/>
    <w:rsid w:val="001377AE"/>
    <w:rsid w:val="00143D02"/>
    <w:rsid w:val="00145BCF"/>
    <w:rsid w:val="00147EF1"/>
    <w:rsid w:val="00150A22"/>
    <w:rsid w:val="00155B1E"/>
    <w:rsid w:val="00155F64"/>
    <w:rsid w:val="00156D43"/>
    <w:rsid w:val="00164D44"/>
    <w:rsid w:val="0016595F"/>
    <w:rsid w:val="00170656"/>
    <w:rsid w:val="00173A51"/>
    <w:rsid w:val="0017475D"/>
    <w:rsid w:val="0017573A"/>
    <w:rsid w:val="00187B62"/>
    <w:rsid w:val="001904D8"/>
    <w:rsid w:val="00193BEB"/>
    <w:rsid w:val="001A0C7D"/>
    <w:rsid w:val="001A1125"/>
    <w:rsid w:val="001A1E83"/>
    <w:rsid w:val="001A283C"/>
    <w:rsid w:val="001A3BB9"/>
    <w:rsid w:val="001A6C01"/>
    <w:rsid w:val="001A7F38"/>
    <w:rsid w:val="001B16E7"/>
    <w:rsid w:val="001B2ADA"/>
    <w:rsid w:val="001B6DBB"/>
    <w:rsid w:val="001C0D11"/>
    <w:rsid w:val="001C2318"/>
    <w:rsid w:val="001C4F5B"/>
    <w:rsid w:val="001E133F"/>
    <w:rsid w:val="001E4F38"/>
    <w:rsid w:val="001E59B3"/>
    <w:rsid w:val="00200CD2"/>
    <w:rsid w:val="0021033C"/>
    <w:rsid w:val="00217A97"/>
    <w:rsid w:val="00231C7A"/>
    <w:rsid w:val="002324ED"/>
    <w:rsid w:val="002355D4"/>
    <w:rsid w:val="0023681F"/>
    <w:rsid w:val="00237D4F"/>
    <w:rsid w:val="00240B63"/>
    <w:rsid w:val="00241C7D"/>
    <w:rsid w:val="00244431"/>
    <w:rsid w:val="00255480"/>
    <w:rsid w:val="00256AC3"/>
    <w:rsid w:val="0026019B"/>
    <w:rsid w:val="00260EAB"/>
    <w:rsid w:val="00260F37"/>
    <w:rsid w:val="002639EE"/>
    <w:rsid w:val="00267C6A"/>
    <w:rsid w:val="002712DF"/>
    <w:rsid w:val="002725F7"/>
    <w:rsid w:val="00281E67"/>
    <w:rsid w:val="00284D8B"/>
    <w:rsid w:val="002A1D32"/>
    <w:rsid w:val="002A7792"/>
    <w:rsid w:val="002B14C6"/>
    <w:rsid w:val="002B2F73"/>
    <w:rsid w:val="002B374F"/>
    <w:rsid w:val="002B7D1A"/>
    <w:rsid w:val="002C100A"/>
    <w:rsid w:val="002C75D0"/>
    <w:rsid w:val="002C7A56"/>
    <w:rsid w:val="002D621B"/>
    <w:rsid w:val="002E444A"/>
    <w:rsid w:val="002E5643"/>
    <w:rsid w:val="002F022A"/>
    <w:rsid w:val="002F5E71"/>
    <w:rsid w:val="002F5FEE"/>
    <w:rsid w:val="00301F6D"/>
    <w:rsid w:val="00303522"/>
    <w:rsid w:val="00305725"/>
    <w:rsid w:val="003144BB"/>
    <w:rsid w:val="00317A54"/>
    <w:rsid w:val="00321072"/>
    <w:rsid w:val="00326C3C"/>
    <w:rsid w:val="00327650"/>
    <w:rsid w:val="003345AE"/>
    <w:rsid w:val="00336598"/>
    <w:rsid w:val="00336D8F"/>
    <w:rsid w:val="00340940"/>
    <w:rsid w:val="00343873"/>
    <w:rsid w:val="003453E6"/>
    <w:rsid w:val="00353EFD"/>
    <w:rsid w:val="00354236"/>
    <w:rsid w:val="00356B5A"/>
    <w:rsid w:val="00360A63"/>
    <w:rsid w:val="00360E29"/>
    <w:rsid w:val="00360FAC"/>
    <w:rsid w:val="003610AE"/>
    <w:rsid w:val="00365B71"/>
    <w:rsid w:val="00366A9E"/>
    <w:rsid w:val="00373AC8"/>
    <w:rsid w:val="003743A8"/>
    <w:rsid w:val="0037518E"/>
    <w:rsid w:val="003767FC"/>
    <w:rsid w:val="00377434"/>
    <w:rsid w:val="00387AF8"/>
    <w:rsid w:val="00397A8C"/>
    <w:rsid w:val="003B0DCA"/>
    <w:rsid w:val="003B494F"/>
    <w:rsid w:val="003B5730"/>
    <w:rsid w:val="003B5BBC"/>
    <w:rsid w:val="003C4B56"/>
    <w:rsid w:val="003C56FC"/>
    <w:rsid w:val="003C5CE6"/>
    <w:rsid w:val="003C6D7B"/>
    <w:rsid w:val="003D36B1"/>
    <w:rsid w:val="003E0F50"/>
    <w:rsid w:val="003E1242"/>
    <w:rsid w:val="003E128D"/>
    <w:rsid w:val="003E38B5"/>
    <w:rsid w:val="003E64B0"/>
    <w:rsid w:val="003E66A8"/>
    <w:rsid w:val="003F0CC4"/>
    <w:rsid w:val="003F0E4E"/>
    <w:rsid w:val="003F6207"/>
    <w:rsid w:val="003F741F"/>
    <w:rsid w:val="0040031F"/>
    <w:rsid w:val="00400FBC"/>
    <w:rsid w:val="004018EE"/>
    <w:rsid w:val="0041031D"/>
    <w:rsid w:val="004114D8"/>
    <w:rsid w:val="00412C6D"/>
    <w:rsid w:val="00415824"/>
    <w:rsid w:val="00415BEB"/>
    <w:rsid w:val="00416AFE"/>
    <w:rsid w:val="0042028A"/>
    <w:rsid w:val="0042492E"/>
    <w:rsid w:val="00425948"/>
    <w:rsid w:val="004268DE"/>
    <w:rsid w:val="00433332"/>
    <w:rsid w:val="00433759"/>
    <w:rsid w:val="004356AE"/>
    <w:rsid w:val="004357AF"/>
    <w:rsid w:val="00443651"/>
    <w:rsid w:val="00443BAA"/>
    <w:rsid w:val="00444FB0"/>
    <w:rsid w:val="00445D1B"/>
    <w:rsid w:val="00445D7D"/>
    <w:rsid w:val="0044602D"/>
    <w:rsid w:val="00450F1B"/>
    <w:rsid w:val="0046045F"/>
    <w:rsid w:val="00473FED"/>
    <w:rsid w:val="00477892"/>
    <w:rsid w:val="00480239"/>
    <w:rsid w:val="00485D66"/>
    <w:rsid w:val="004877E5"/>
    <w:rsid w:val="00487AC9"/>
    <w:rsid w:val="00495A28"/>
    <w:rsid w:val="004968F1"/>
    <w:rsid w:val="004A2BF2"/>
    <w:rsid w:val="004A3262"/>
    <w:rsid w:val="004A5D14"/>
    <w:rsid w:val="004A6A99"/>
    <w:rsid w:val="004A7F90"/>
    <w:rsid w:val="004B02E4"/>
    <w:rsid w:val="004B0959"/>
    <w:rsid w:val="004B1504"/>
    <w:rsid w:val="004B600A"/>
    <w:rsid w:val="004C113D"/>
    <w:rsid w:val="004C25F0"/>
    <w:rsid w:val="004C3C39"/>
    <w:rsid w:val="004C405E"/>
    <w:rsid w:val="004C4858"/>
    <w:rsid w:val="004C6715"/>
    <w:rsid w:val="004D3A9C"/>
    <w:rsid w:val="004D7356"/>
    <w:rsid w:val="004E3806"/>
    <w:rsid w:val="004E5322"/>
    <w:rsid w:val="004E6831"/>
    <w:rsid w:val="004E6B49"/>
    <w:rsid w:val="004F3086"/>
    <w:rsid w:val="004F326D"/>
    <w:rsid w:val="004F3332"/>
    <w:rsid w:val="004F59E1"/>
    <w:rsid w:val="004F623E"/>
    <w:rsid w:val="004F6DB8"/>
    <w:rsid w:val="00501C40"/>
    <w:rsid w:val="00502F83"/>
    <w:rsid w:val="0050421E"/>
    <w:rsid w:val="0050453A"/>
    <w:rsid w:val="00506013"/>
    <w:rsid w:val="0051229A"/>
    <w:rsid w:val="005230A4"/>
    <w:rsid w:val="00523DA8"/>
    <w:rsid w:val="005249EB"/>
    <w:rsid w:val="00524A9D"/>
    <w:rsid w:val="00525E59"/>
    <w:rsid w:val="0053143E"/>
    <w:rsid w:val="005315E9"/>
    <w:rsid w:val="005351C2"/>
    <w:rsid w:val="005358F2"/>
    <w:rsid w:val="0054016F"/>
    <w:rsid w:val="00541DBA"/>
    <w:rsid w:val="005445D3"/>
    <w:rsid w:val="00546E32"/>
    <w:rsid w:val="0054733B"/>
    <w:rsid w:val="00547799"/>
    <w:rsid w:val="00552A2D"/>
    <w:rsid w:val="00553831"/>
    <w:rsid w:val="00556478"/>
    <w:rsid w:val="00557239"/>
    <w:rsid w:val="00562C07"/>
    <w:rsid w:val="005668BA"/>
    <w:rsid w:val="00570A39"/>
    <w:rsid w:val="005767E4"/>
    <w:rsid w:val="00577829"/>
    <w:rsid w:val="005834CB"/>
    <w:rsid w:val="00584149"/>
    <w:rsid w:val="005905BD"/>
    <w:rsid w:val="00593DA9"/>
    <w:rsid w:val="005947C7"/>
    <w:rsid w:val="005954AE"/>
    <w:rsid w:val="005A2379"/>
    <w:rsid w:val="005A6FCC"/>
    <w:rsid w:val="005B08F4"/>
    <w:rsid w:val="005B2BC5"/>
    <w:rsid w:val="005B2E86"/>
    <w:rsid w:val="005B378B"/>
    <w:rsid w:val="005C26E3"/>
    <w:rsid w:val="005C2B3D"/>
    <w:rsid w:val="005C4CE0"/>
    <w:rsid w:val="005C7430"/>
    <w:rsid w:val="005C7FB7"/>
    <w:rsid w:val="005D07DA"/>
    <w:rsid w:val="005D32BC"/>
    <w:rsid w:val="005D50CC"/>
    <w:rsid w:val="005D6035"/>
    <w:rsid w:val="005D62C2"/>
    <w:rsid w:val="005E0173"/>
    <w:rsid w:val="005E2955"/>
    <w:rsid w:val="005F2457"/>
    <w:rsid w:val="005F2D41"/>
    <w:rsid w:val="006039E2"/>
    <w:rsid w:val="0060446F"/>
    <w:rsid w:val="0060580D"/>
    <w:rsid w:val="00606D1A"/>
    <w:rsid w:val="00613D6B"/>
    <w:rsid w:val="006160B2"/>
    <w:rsid w:val="00617FC4"/>
    <w:rsid w:val="0062148C"/>
    <w:rsid w:val="00622ED6"/>
    <w:rsid w:val="00625D06"/>
    <w:rsid w:val="00630424"/>
    <w:rsid w:val="00630A26"/>
    <w:rsid w:val="0063221E"/>
    <w:rsid w:val="0063298E"/>
    <w:rsid w:val="00637FB2"/>
    <w:rsid w:val="00640382"/>
    <w:rsid w:val="00646AEC"/>
    <w:rsid w:val="006472B7"/>
    <w:rsid w:val="0065340F"/>
    <w:rsid w:val="0065452A"/>
    <w:rsid w:val="006572F2"/>
    <w:rsid w:val="00657FD1"/>
    <w:rsid w:val="006605CD"/>
    <w:rsid w:val="0066574D"/>
    <w:rsid w:val="00666A20"/>
    <w:rsid w:val="00671597"/>
    <w:rsid w:val="00680297"/>
    <w:rsid w:val="00681B0B"/>
    <w:rsid w:val="006969FF"/>
    <w:rsid w:val="006A039F"/>
    <w:rsid w:val="006A0841"/>
    <w:rsid w:val="006A72EB"/>
    <w:rsid w:val="006B1C84"/>
    <w:rsid w:val="006B3290"/>
    <w:rsid w:val="006C0303"/>
    <w:rsid w:val="006C0F62"/>
    <w:rsid w:val="006C2BC0"/>
    <w:rsid w:val="006C515C"/>
    <w:rsid w:val="006C6974"/>
    <w:rsid w:val="006C7A20"/>
    <w:rsid w:val="006D4CAB"/>
    <w:rsid w:val="006E1F97"/>
    <w:rsid w:val="006E28AD"/>
    <w:rsid w:val="006E38F8"/>
    <w:rsid w:val="006E43B2"/>
    <w:rsid w:val="006E4691"/>
    <w:rsid w:val="006E7958"/>
    <w:rsid w:val="006E7B88"/>
    <w:rsid w:val="007061BB"/>
    <w:rsid w:val="00706EF1"/>
    <w:rsid w:val="007115FA"/>
    <w:rsid w:val="007124A7"/>
    <w:rsid w:val="007126AF"/>
    <w:rsid w:val="00713DCC"/>
    <w:rsid w:val="0072059C"/>
    <w:rsid w:val="007238F3"/>
    <w:rsid w:val="007247E1"/>
    <w:rsid w:val="00724DB2"/>
    <w:rsid w:val="007305D8"/>
    <w:rsid w:val="00731DB4"/>
    <w:rsid w:val="00732BA9"/>
    <w:rsid w:val="00734A7F"/>
    <w:rsid w:val="00734DAE"/>
    <w:rsid w:val="00736159"/>
    <w:rsid w:val="00737A9B"/>
    <w:rsid w:val="00742D17"/>
    <w:rsid w:val="0074784A"/>
    <w:rsid w:val="00750A4E"/>
    <w:rsid w:val="00752780"/>
    <w:rsid w:val="0075333C"/>
    <w:rsid w:val="00754D49"/>
    <w:rsid w:val="00755079"/>
    <w:rsid w:val="0075537D"/>
    <w:rsid w:val="00762912"/>
    <w:rsid w:val="00762BCF"/>
    <w:rsid w:val="007679C6"/>
    <w:rsid w:val="00770210"/>
    <w:rsid w:val="007776C8"/>
    <w:rsid w:val="00777F32"/>
    <w:rsid w:val="00782773"/>
    <w:rsid w:val="00784279"/>
    <w:rsid w:val="00786130"/>
    <w:rsid w:val="00786671"/>
    <w:rsid w:val="007873E6"/>
    <w:rsid w:val="00790339"/>
    <w:rsid w:val="00790857"/>
    <w:rsid w:val="00793A28"/>
    <w:rsid w:val="007942AE"/>
    <w:rsid w:val="00796B45"/>
    <w:rsid w:val="00797884"/>
    <w:rsid w:val="007A34EF"/>
    <w:rsid w:val="007A4D90"/>
    <w:rsid w:val="007A5D48"/>
    <w:rsid w:val="007B67B2"/>
    <w:rsid w:val="007B779C"/>
    <w:rsid w:val="007B7E73"/>
    <w:rsid w:val="007C29B1"/>
    <w:rsid w:val="007C399C"/>
    <w:rsid w:val="007D0871"/>
    <w:rsid w:val="007D3A03"/>
    <w:rsid w:val="007D3C13"/>
    <w:rsid w:val="007D4EA0"/>
    <w:rsid w:val="007D52B9"/>
    <w:rsid w:val="007E071E"/>
    <w:rsid w:val="007E256C"/>
    <w:rsid w:val="007E60FA"/>
    <w:rsid w:val="007F1A58"/>
    <w:rsid w:val="007F46F6"/>
    <w:rsid w:val="007F6898"/>
    <w:rsid w:val="00800816"/>
    <w:rsid w:val="0080102F"/>
    <w:rsid w:val="008011C2"/>
    <w:rsid w:val="00810BBF"/>
    <w:rsid w:val="00812251"/>
    <w:rsid w:val="00817402"/>
    <w:rsid w:val="00822384"/>
    <w:rsid w:val="00822723"/>
    <w:rsid w:val="00822858"/>
    <w:rsid w:val="00825EA6"/>
    <w:rsid w:val="00834389"/>
    <w:rsid w:val="00835B28"/>
    <w:rsid w:val="00837584"/>
    <w:rsid w:val="00844E8B"/>
    <w:rsid w:val="00844F69"/>
    <w:rsid w:val="008455AC"/>
    <w:rsid w:val="00853FB8"/>
    <w:rsid w:val="00854624"/>
    <w:rsid w:val="00860DAE"/>
    <w:rsid w:val="00862C42"/>
    <w:rsid w:val="008700F7"/>
    <w:rsid w:val="00870138"/>
    <w:rsid w:val="008711BB"/>
    <w:rsid w:val="00873AE5"/>
    <w:rsid w:val="00873B69"/>
    <w:rsid w:val="00876910"/>
    <w:rsid w:val="00882383"/>
    <w:rsid w:val="00884009"/>
    <w:rsid w:val="00884A32"/>
    <w:rsid w:val="00885EF4"/>
    <w:rsid w:val="0089214A"/>
    <w:rsid w:val="00892A5E"/>
    <w:rsid w:val="0089381B"/>
    <w:rsid w:val="008A0ACF"/>
    <w:rsid w:val="008A34BA"/>
    <w:rsid w:val="008A5030"/>
    <w:rsid w:val="008A71CE"/>
    <w:rsid w:val="008B03C9"/>
    <w:rsid w:val="008B3453"/>
    <w:rsid w:val="008C1187"/>
    <w:rsid w:val="008C4852"/>
    <w:rsid w:val="008C4C9A"/>
    <w:rsid w:val="008D612C"/>
    <w:rsid w:val="008D64FF"/>
    <w:rsid w:val="008D7AEA"/>
    <w:rsid w:val="008E5127"/>
    <w:rsid w:val="008F058E"/>
    <w:rsid w:val="008F0FA9"/>
    <w:rsid w:val="008F2181"/>
    <w:rsid w:val="0090249F"/>
    <w:rsid w:val="009068F9"/>
    <w:rsid w:val="0091211B"/>
    <w:rsid w:val="009131BD"/>
    <w:rsid w:val="00913A4E"/>
    <w:rsid w:val="00924E9F"/>
    <w:rsid w:val="00930E0A"/>
    <w:rsid w:val="009361E9"/>
    <w:rsid w:val="009367D3"/>
    <w:rsid w:val="00937C01"/>
    <w:rsid w:val="009426C7"/>
    <w:rsid w:val="0094281C"/>
    <w:rsid w:val="00946439"/>
    <w:rsid w:val="00955E3A"/>
    <w:rsid w:val="0095735C"/>
    <w:rsid w:val="009648A8"/>
    <w:rsid w:val="00964922"/>
    <w:rsid w:val="00966C5A"/>
    <w:rsid w:val="00971380"/>
    <w:rsid w:val="009723F7"/>
    <w:rsid w:val="00974CD4"/>
    <w:rsid w:val="00976149"/>
    <w:rsid w:val="009768F5"/>
    <w:rsid w:val="00976F40"/>
    <w:rsid w:val="00980AA5"/>
    <w:rsid w:val="0098282F"/>
    <w:rsid w:val="009903FB"/>
    <w:rsid w:val="00993426"/>
    <w:rsid w:val="009941CE"/>
    <w:rsid w:val="009945DC"/>
    <w:rsid w:val="00995658"/>
    <w:rsid w:val="009A052C"/>
    <w:rsid w:val="009A2360"/>
    <w:rsid w:val="009A2E27"/>
    <w:rsid w:val="009A3044"/>
    <w:rsid w:val="009A49E4"/>
    <w:rsid w:val="009B3659"/>
    <w:rsid w:val="009B509C"/>
    <w:rsid w:val="009B597B"/>
    <w:rsid w:val="009C4934"/>
    <w:rsid w:val="009C4BAA"/>
    <w:rsid w:val="009C503C"/>
    <w:rsid w:val="009D298E"/>
    <w:rsid w:val="009D7298"/>
    <w:rsid w:val="009D7CD9"/>
    <w:rsid w:val="009E0AD3"/>
    <w:rsid w:val="009E460B"/>
    <w:rsid w:val="009E4A44"/>
    <w:rsid w:val="009E5769"/>
    <w:rsid w:val="009E69A4"/>
    <w:rsid w:val="009E7600"/>
    <w:rsid w:val="009F1758"/>
    <w:rsid w:val="009F17A8"/>
    <w:rsid w:val="009F1937"/>
    <w:rsid w:val="009F448E"/>
    <w:rsid w:val="009F797C"/>
    <w:rsid w:val="00A02F65"/>
    <w:rsid w:val="00A03359"/>
    <w:rsid w:val="00A045D2"/>
    <w:rsid w:val="00A066C0"/>
    <w:rsid w:val="00A067DC"/>
    <w:rsid w:val="00A07981"/>
    <w:rsid w:val="00A113FB"/>
    <w:rsid w:val="00A135F1"/>
    <w:rsid w:val="00A15613"/>
    <w:rsid w:val="00A260C8"/>
    <w:rsid w:val="00A4174C"/>
    <w:rsid w:val="00A425D5"/>
    <w:rsid w:val="00A432AD"/>
    <w:rsid w:val="00A464D7"/>
    <w:rsid w:val="00A46CA3"/>
    <w:rsid w:val="00A533B8"/>
    <w:rsid w:val="00A56406"/>
    <w:rsid w:val="00A56CC2"/>
    <w:rsid w:val="00A62E57"/>
    <w:rsid w:val="00A64A6A"/>
    <w:rsid w:val="00A661D7"/>
    <w:rsid w:val="00A7178E"/>
    <w:rsid w:val="00A73C4D"/>
    <w:rsid w:val="00A7415F"/>
    <w:rsid w:val="00A74A9E"/>
    <w:rsid w:val="00A74B03"/>
    <w:rsid w:val="00A75AE5"/>
    <w:rsid w:val="00A77C1A"/>
    <w:rsid w:val="00A80F77"/>
    <w:rsid w:val="00A82930"/>
    <w:rsid w:val="00A8517D"/>
    <w:rsid w:val="00A935F2"/>
    <w:rsid w:val="00A93794"/>
    <w:rsid w:val="00A951E0"/>
    <w:rsid w:val="00AA01BC"/>
    <w:rsid w:val="00AA04F7"/>
    <w:rsid w:val="00AA17DD"/>
    <w:rsid w:val="00AA2D25"/>
    <w:rsid w:val="00AA33ED"/>
    <w:rsid w:val="00AA70B7"/>
    <w:rsid w:val="00AB470A"/>
    <w:rsid w:val="00AB7ADB"/>
    <w:rsid w:val="00AC0E60"/>
    <w:rsid w:val="00AC4176"/>
    <w:rsid w:val="00AC43DB"/>
    <w:rsid w:val="00AC5F0D"/>
    <w:rsid w:val="00AC74E2"/>
    <w:rsid w:val="00AD3A24"/>
    <w:rsid w:val="00AD5FF2"/>
    <w:rsid w:val="00AD7EC0"/>
    <w:rsid w:val="00AE1F58"/>
    <w:rsid w:val="00AE5609"/>
    <w:rsid w:val="00AE71CE"/>
    <w:rsid w:val="00AF4135"/>
    <w:rsid w:val="00AF4764"/>
    <w:rsid w:val="00AF684E"/>
    <w:rsid w:val="00B00FD1"/>
    <w:rsid w:val="00B021FA"/>
    <w:rsid w:val="00B02452"/>
    <w:rsid w:val="00B029E1"/>
    <w:rsid w:val="00B02D35"/>
    <w:rsid w:val="00B03A2C"/>
    <w:rsid w:val="00B06C83"/>
    <w:rsid w:val="00B14B27"/>
    <w:rsid w:val="00B302A4"/>
    <w:rsid w:val="00B31430"/>
    <w:rsid w:val="00B32362"/>
    <w:rsid w:val="00B3336A"/>
    <w:rsid w:val="00B35CCB"/>
    <w:rsid w:val="00B4091A"/>
    <w:rsid w:val="00B41A0F"/>
    <w:rsid w:val="00B41A24"/>
    <w:rsid w:val="00B4348E"/>
    <w:rsid w:val="00B45A64"/>
    <w:rsid w:val="00B46BBD"/>
    <w:rsid w:val="00B4749F"/>
    <w:rsid w:val="00B47E12"/>
    <w:rsid w:val="00B50C16"/>
    <w:rsid w:val="00B55B58"/>
    <w:rsid w:val="00B653B4"/>
    <w:rsid w:val="00B730DE"/>
    <w:rsid w:val="00B821DC"/>
    <w:rsid w:val="00B83E8A"/>
    <w:rsid w:val="00B90C0D"/>
    <w:rsid w:val="00B965B8"/>
    <w:rsid w:val="00BA2773"/>
    <w:rsid w:val="00BA71A2"/>
    <w:rsid w:val="00BB1BFE"/>
    <w:rsid w:val="00BB3664"/>
    <w:rsid w:val="00BB6F40"/>
    <w:rsid w:val="00BB7F6F"/>
    <w:rsid w:val="00BC2050"/>
    <w:rsid w:val="00BC25D0"/>
    <w:rsid w:val="00BC480A"/>
    <w:rsid w:val="00BC56E4"/>
    <w:rsid w:val="00BD1EE9"/>
    <w:rsid w:val="00BD3230"/>
    <w:rsid w:val="00BD4DC3"/>
    <w:rsid w:val="00BD64B4"/>
    <w:rsid w:val="00BE09D7"/>
    <w:rsid w:val="00BE0B65"/>
    <w:rsid w:val="00BE1462"/>
    <w:rsid w:val="00BE22C4"/>
    <w:rsid w:val="00BE298C"/>
    <w:rsid w:val="00BE35D0"/>
    <w:rsid w:val="00BE4E17"/>
    <w:rsid w:val="00BE664E"/>
    <w:rsid w:val="00BE6B63"/>
    <w:rsid w:val="00BF34D2"/>
    <w:rsid w:val="00BF5CEA"/>
    <w:rsid w:val="00BF71F3"/>
    <w:rsid w:val="00BF7342"/>
    <w:rsid w:val="00C00F7F"/>
    <w:rsid w:val="00C01031"/>
    <w:rsid w:val="00C01C48"/>
    <w:rsid w:val="00C052FE"/>
    <w:rsid w:val="00C127AC"/>
    <w:rsid w:val="00C157E9"/>
    <w:rsid w:val="00C1627A"/>
    <w:rsid w:val="00C168AE"/>
    <w:rsid w:val="00C17E06"/>
    <w:rsid w:val="00C2599D"/>
    <w:rsid w:val="00C25E05"/>
    <w:rsid w:val="00C2645F"/>
    <w:rsid w:val="00C324AA"/>
    <w:rsid w:val="00C3301F"/>
    <w:rsid w:val="00C34565"/>
    <w:rsid w:val="00C34A47"/>
    <w:rsid w:val="00C4206C"/>
    <w:rsid w:val="00C45491"/>
    <w:rsid w:val="00C459D1"/>
    <w:rsid w:val="00C45BB6"/>
    <w:rsid w:val="00C45EF3"/>
    <w:rsid w:val="00C55933"/>
    <w:rsid w:val="00C56BE9"/>
    <w:rsid w:val="00C57886"/>
    <w:rsid w:val="00C6679C"/>
    <w:rsid w:val="00C673D2"/>
    <w:rsid w:val="00C71251"/>
    <w:rsid w:val="00C716F9"/>
    <w:rsid w:val="00C764AD"/>
    <w:rsid w:val="00C80091"/>
    <w:rsid w:val="00C84A5D"/>
    <w:rsid w:val="00C8757E"/>
    <w:rsid w:val="00C91E6F"/>
    <w:rsid w:val="00C96911"/>
    <w:rsid w:val="00CA1063"/>
    <w:rsid w:val="00CA2E2A"/>
    <w:rsid w:val="00CA52C8"/>
    <w:rsid w:val="00CA6669"/>
    <w:rsid w:val="00CB3136"/>
    <w:rsid w:val="00CB4401"/>
    <w:rsid w:val="00CB476E"/>
    <w:rsid w:val="00CB4F10"/>
    <w:rsid w:val="00CB66AB"/>
    <w:rsid w:val="00CB6987"/>
    <w:rsid w:val="00CC0CA3"/>
    <w:rsid w:val="00CC1F28"/>
    <w:rsid w:val="00CC25BF"/>
    <w:rsid w:val="00CC4B03"/>
    <w:rsid w:val="00CD4510"/>
    <w:rsid w:val="00CE1793"/>
    <w:rsid w:val="00CE2508"/>
    <w:rsid w:val="00CF0430"/>
    <w:rsid w:val="00CF080A"/>
    <w:rsid w:val="00CF14D7"/>
    <w:rsid w:val="00CF23A6"/>
    <w:rsid w:val="00D05E34"/>
    <w:rsid w:val="00D12446"/>
    <w:rsid w:val="00D12CF6"/>
    <w:rsid w:val="00D1511C"/>
    <w:rsid w:val="00D152C8"/>
    <w:rsid w:val="00D24152"/>
    <w:rsid w:val="00D249C0"/>
    <w:rsid w:val="00D25B40"/>
    <w:rsid w:val="00D25B4F"/>
    <w:rsid w:val="00D26282"/>
    <w:rsid w:val="00D315FD"/>
    <w:rsid w:val="00D33EDD"/>
    <w:rsid w:val="00D34948"/>
    <w:rsid w:val="00D40FDC"/>
    <w:rsid w:val="00D44541"/>
    <w:rsid w:val="00D52778"/>
    <w:rsid w:val="00D55D72"/>
    <w:rsid w:val="00D57A3C"/>
    <w:rsid w:val="00D63892"/>
    <w:rsid w:val="00D64B47"/>
    <w:rsid w:val="00D6585F"/>
    <w:rsid w:val="00D669D8"/>
    <w:rsid w:val="00D73890"/>
    <w:rsid w:val="00D768F3"/>
    <w:rsid w:val="00D771B4"/>
    <w:rsid w:val="00D85A18"/>
    <w:rsid w:val="00D862AE"/>
    <w:rsid w:val="00D86366"/>
    <w:rsid w:val="00D86D21"/>
    <w:rsid w:val="00D86E14"/>
    <w:rsid w:val="00D9313E"/>
    <w:rsid w:val="00D936B9"/>
    <w:rsid w:val="00D95667"/>
    <w:rsid w:val="00DA3F5A"/>
    <w:rsid w:val="00DA773A"/>
    <w:rsid w:val="00DB09B6"/>
    <w:rsid w:val="00DB09F4"/>
    <w:rsid w:val="00DB173A"/>
    <w:rsid w:val="00DB2A04"/>
    <w:rsid w:val="00DB4411"/>
    <w:rsid w:val="00DB4AC1"/>
    <w:rsid w:val="00DB56F7"/>
    <w:rsid w:val="00DC00A4"/>
    <w:rsid w:val="00DC1F49"/>
    <w:rsid w:val="00DC5471"/>
    <w:rsid w:val="00DD24FC"/>
    <w:rsid w:val="00DD56A3"/>
    <w:rsid w:val="00DD5F7C"/>
    <w:rsid w:val="00DE2528"/>
    <w:rsid w:val="00DE2695"/>
    <w:rsid w:val="00DE2D6E"/>
    <w:rsid w:val="00DE3A8D"/>
    <w:rsid w:val="00DE47A4"/>
    <w:rsid w:val="00DE6F2B"/>
    <w:rsid w:val="00DF045A"/>
    <w:rsid w:val="00DF6668"/>
    <w:rsid w:val="00E00B25"/>
    <w:rsid w:val="00E029DB"/>
    <w:rsid w:val="00E03BFC"/>
    <w:rsid w:val="00E04BFF"/>
    <w:rsid w:val="00E0512C"/>
    <w:rsid w:val="00E14FD1"/>
    <w:rsid w:val="00E1558D"/>
    <w:rsid w:val="00E16F42"/>
    <w:rsid w:val="00E23146"/>
    <w:rsid w:val="00E236EC"/>
    <w:rsid w:val="00E24088"/>
    <w:rsid w:val="00E25718"/>
    <w:rsid w:val="00E26B7E"/>
    <w:rsid w:val="00E27238"/>
    <w:rsid w:val="00E30B39"/>
    <w:rsid w:val="00E31537"/>
    <w:rsid w:val="00E3210A"/>
    <w:rsid w:val="00E32123"/>
    <w:rsid w:val="00E3367B"/>
    <w:rsid w:val="00E33AF3"/>
    <w:rsid w:val="00E514A1"/>
    <w:rsid w:val="00E53903"/>
    <w:rsid w:val="00E53CE0"/>
    <w:rsid w:val="00E55FE1"/>
    <w:rsid w:val="00E564B2"/>
    <w:rsid w:val="00E570F4"/>
    <w:rsid w:val="00E5764B"/>
    <w:rsid w:val="00E62FF8"/>
    <w:rsid w:val="00E63EB7"/>
    <w:rsid w:val="00E6558A"/>
    <w:rsid w:val="00E67069"/>
    <w:rsid w:val="00E679CD"/>
    <w:rsid w:val="00E715F4"/>
    <w:rsid w:val="00E71E1D"/>
    <w:rsid w:val="00E73CC3"/>
    <w:rsid w:val="00E740B7"/>
    <w:rsid w:val="00E74BD8"/>
    <w:rsid w:val="00E800D3"/>
    <w:rsid w:val="00E83ADD"/>
    <w:rsid w:val="00E8511E"/>
    <w:rsid w:val="00E8738C"/>
    <w:rsid w:val="00E87773"/>
    <w:rsid w:val="00E94BBD"/>
    <w:rsid w:val="00E96001"/>
    <w:rsid w:val="00EA0F6A"/>
    <w:rsid w:val="00EA1051"/>
    <w:rsid w:val="00EA2348"/>
    <w:rsid w:val="00EA24B2"/>
    <w:rsid w:val="00EA2BC7"/>
    <w:rsid w:val="00EA37A1"/>
    <w:rsid w:val="00EA5920"/>
    <w:rsid w:val="00EA7A39"/>
    <w:rsid w:val="00EA7DD6"/>
    <w:rsid w:val="00EB127C"/>
    <w:rsid w:val="00EB1B04"/>
    <w:rsid w:val="00EB4EA4"/>
    <w:rsid w:val="00EC4973"/>
    <w:rsid w:val="00EC4E07"/>
    <w:rsid w:val="00EC6F2D"/>
    <w:rsid w:val="00EC766D"/>
    <w:rsid w:val="00EC7C74"/>
    <w:rsid w:val="00ED09B3"/>
    <w:rsid w:val="00ED18BC"/>
    <w:rsid w:val="00ED2D42"/>
    <w:rsid w:val="00ED4897"/>
    <w:rsid w:val="00EE09D0"/>
    <w:rsid w:val="00EE3C9A"/>
    <w:rsid w:val="00EE5737"/>
    <w:rsid w:val="00EF0151"/>
    <w:rsid w:val="00EF1011"/>
    <w:rsid w:val="00EF2FFE"/>
    <w:rsid w:val="00EF3812"/>
    <w:rsid w:val="00EF4F05"/>
    <w:rsid w:val="00EF5466"/>
    <w:rsid w:val="00EF6190"/>
    <w:rsid w:val="00EF6335"/>
    <w:rsid w:val="00EF720D"/>
    <w:rsid w:val="00EF795A"/>
    <w:rsid w:val="00F00E30"/>
    <w:rsid w:val="00F00F05"/>
    <w:rsid w:val="00F0159C"/>
    <w:rsid w:val="00F03281"/>
    <w:rsid w:val="00F05A3C"/>
    <w:rsid w:val="00F05D40"/>
    <w:rsid w:val="00F061E7"/>
    <w:rsid w:val="00F14C0C"/>
    <w:rsid w:val="00F25BA7"/>
    <w:rsid w:val="00F307BE"/>
    <w:rsid w:val="00F32132"/>
    <w:rsid w:val="00F34E6E"/>
    <w:rsid w:val="00F41EE5"/>
    <w:rsid w:val="00F42681"/>
    <w:rsid w:val="00F42BD8"/>
    <w:rsid w:val="00F42C91"/>
    <w:rsid w:val="00F42ECD"/>
    <w:rsid w:val="00F43CA2"/>
    <w:rsid w:val="00F47A41"/>
    <w:rsid w:val="00F513DC"/>
    <w:rsid w:val="00F54D28"/>
    <w:rsid w:val="00F55113"/>
    <w:rsid w:val="00F57A24"/>
    <w:rsid w:val="00F70C0C"/>
    <w:rsid w:val="00F7153C"/>
    <w:rsid w:val="00F71B5F"/>
    <w:rsid w:val="00F72E2A"/>
    <w:rsid w:val="00F73ADA"/>
    <w:rsid w:val="00F741D1"/>
    <w:rsid w:val="00F76075"/>
    <w:rsid w:val="00F77B21"/>
    <w:rsid w:val="00F806EA"/>
    <w:rsid w:val="00F8079D"/>
    <w:rsid w:val="00F8202E"/>
    <w:rsid w:val="00F85DAA"/>
    <w:rsid w:val="00F866C3"/>
    <w:rsid w:val="00F870DE"/>
    <w:rsid w:val="00F91F00"/>
    <w:rsid w:val="00F93518"/>
    <w:rsid w:val="00F9446C"/>
    <w:rsid w:val="00F95FE9"/>
    <w:rsid w:val="00F97E71"/>
    <w:rsid w:val="00FA1079"/>
    <w:rsid w:val="00FB11B0"/>
    <w:rsid w:val="00FB4667"/>
    <w:rsid w:val="00FB6719"/>
    <w:rsid w:val="00FB703E"/>
    <w:rsid w:val="00FB764D"/>
    <w:rsid w:val="00FC002F"/>
    <w:rsid w:val="00FC45F9"/>
    <w:rsid w:val="00FC48C7"/>
    <w:rsid w:val="00FD300B"/>
    <w:rsid w:val="00FD3619"/>
    <w:rsid w:val="00FD6B52"/>
    <w:rsid w:val="00FD7106"/>
    <w:rsid w:val="00FE1F23"/>
    <w:rsid w:val="00FE379F"/>
    <w:rsid w:val="00FE4F84"/>
    <w:rsid w:val="00FE658A"/>
    <w:rsid w:val="00FF779D"/>
    <w:rsid w:val="05937977"/>
    <w:rsid w:val="075C3FFB"/>
    <w:rsid w:val="08385CD2"/>
    <w:rsid w:val="09062ACA"/>
    <w:rsid w:val="0DBB6DB6"/>
    <w:rsid w:val="10E142EF"/>
    <w:rsid w:val="11417E77"/>
    <w:rsid w:val="11E27A7D"/>
    <w:rsid w:val="146D7A35"/>
    <w:rsid w:val="15B5339D"/>
    <w:rsid w:val="1810132D"/>
    <w:rsid w:val="1A7417A8"/>
    <w:rsid w:val="1C0034D2"/>
    <w:rsid w:val="1C0D0597"/>
    <w:rsid w:val="1FF80A62"/>
    <w:rsid w:val="21FA4B77"/>
    <w:rsid w:val="2353425E"/>
    <w:rsid w:val="235E251E"/>
    <w:rsid w:val="23E05BDF"/>
    <w:rsid w:val="24701FD0"/>
    <w:rsid w:val="26EC11E7"/>
    <w:rsid w:val="26FF18C4"/>
    <w:rsid w:val="27811B5A"/>
    <w:rsid w:val="27E431F0"/>
    <w:rsid w:val="2B5C4C52"/>
    <w:rsid w:val="2F0F4C02"/>
    <w:rsid w:val="2F5B19B4"/>
    <w:rsid w:val="31716FC7"/>
    <w:rsid w:val="32D21FD1"/>
    <w:rsid w:val="33A0145F"/>
    <w:rsid w:val="34BE1CA2"/>
    <w:rsid w:val="35516B46"/>
    <w:rsid w:val="357D1636"/>
    <w:rsid w:val="3944292F"/>
    <w:rsid w:val="39607811"/>
    <w:rsid w:val="3C5A3B63"/>
    <w:rsid w:val="3C690935"/>
    <w:rsid w:val="3CC01322"/>
    <w:rsid w:val="3DD05DB4"/>
    <w:rsid w:val="3DD6453D"/>
    <w:rsid w:val="3E6C677A"/>
    <w:rsid w:val="406235CC"/>
    <w:rsid w:val="424116F4"/>
    <w:rsid w:val="452D4F67"/>
    <w:rsid w:val="468B7243"/>
    <w:rsid w:val="479D4186"/>
    <w:rsid w:val="47E564F8"/>
    <w:rsid w:val="48017DEF"/>
    <w:rsid w:val="488207D9"/>
    <w:rsid w:val="48A14E13"/>
    <w:rsid w:val="4A743BA3"/>
    <w:rsid w:val="4AE90A50"/>
    <w:rsid w:val="4BB06D15"/>
    <w:rsid w:val="4DFE3D6B"/>
    <w:rsid w:val="52F15DAE"/>
    <w:rsid w:val="530F0D8A"/>
    <w:rsid w:val="53214D19"/>
    <w:rsid w:val="534A6F96"/>
    <w:rsid w:val="5391399C"/>
    <w:rsid w:val="53950CA9"/>
    <w:rsid w:val="552E4FE6"/>
    <w:rsid w:val="56641A68"/>
    <w:rsid w:val="5A2958CC"/>
    <w:rsid w:val="5C167E89"/>
    <w:rsid w:val="61AE5AE3"/>
    <w:rsid w:val="62D82E3B"/>
    <w:rsid w:val="651F720E"/>
    <w:rsid w:val="66A55BAD"/>
    <w:rsid w:val="6C3E016B"/>
    <w:rsid w:val="6CCA695C"/>
    <w:rsid w:val="6D851CAF"/>
    <w:rsid w:val="6DA16411"/>
    <w:rsid w:val="6E357699"/>
    <w:rsid w:val="6F3E3427"/>
    <w:rsid w:val="74AB1356"/>
    <w:rsid w:val="76CA7D2C"/>
    <w:rsid w:val="775420C6"/>
    <w:rsid w:val="7A45488C"/>
    <w:rsid w:val="7ACA0CE9"/>
    <w:rsid w:val="7B395A99"/>
    <w:rsid w:val="7CF2690F"/>
    <w:rsid w:val="7F1C7A9E"/>
    <w:rsid w:val="7F677C8A"/>
    <w:rsid w:val="7FF0381D"/>
    <w:rsid w:val="BDFFBFD6"/>
    <w:rsid w:val="FAD93C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qFormat="1" w:unhideWhenUsed="0" w:uiPriority="0"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qFormat="1" w:uiPriority="99" w:name="Body Text Indent 3"/>
    <w:lsdException w:uiPriority="99" w:name="Block Text"/>
    <w:lsdException w:qFormat="1" w:uiPriority="99" w:semiHidden="0" w:name="Hyperlink"/>
    <w:lsdException w:uiPriority="99" w:semiHidden="0" w:name="FollowedHyperlink"/>
    <w:lsdException w:qFormat="1" w:unhideWhenUsed="0" w:uiPriority="22" w:semiHidden="0" w:name="Strong"/>
    <w:lsdException w:qFormat="1" w:unhideWhenUsed="0" w:uiPriority="20" w:semiHidden="0" w:name="Emphasis"/>
    <w:lsdException w:qFormat="1" w:unhideWhenUsed="0" w:uiPriority="0"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34"/>
    <w:qFormat/>
    <w:uiPriority w:val="9"/>
    <w:pPr>
      <w:keepNext/>
      <w:keepLines/>
      <w:spacing w:before="340" w:after="330" w:line="578" w:lineRule="auto"/>
      <w:outlineLvl w:val="0"/>
    </w:pPr>
    <w:rPr>
      <w:b/>
      <w:bCs/>
      <w:kern w:val="44"/>
      <w:sz w:val="44"/>
      <w:szCs w:val="44"/>
    </w:rPr>
  </w:style>
  <w:style w:type="paragraph" w:styleId="3">
    <w:name w:val="heading 2"/>
    <w:basedOn w:val="4"/>
    <w:next w:val="4"/>
    <w:qFormat/>
    <w:uiPriority w:val="0"/>
    <w:pPr>
      <w:topLinePunct/>
      <w:spacing w:line="580" w:lineRule="exact"/>
      <w:ind w:firstLine="200" w:firstLineChars="200"/>
      <w:outlineLvl w:val="1"/>
    </w:pPr>
    <w:rPr>
      <w:rFonts w:ascii="仿宋_GB2312" w:hAnsi="Cambria" w:eastAsia="仿宋_GB2312"/>
      <w:b/>
      <w:bCs/>
      <w:kern w:val="0"/>
      <w:sz w:val="32"/>
      <w:szCs w:val="32"/>
    </w:rPr>
  </w:style>
  <w:style w:type="character" w:default="1" w:styleId="17">
    <w:name w:val="Default Paragraph Font"/>
    <w:semiHidden/>
    <w:unhideWhenUsed/>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customStyle="1" w:styleId="4">
    <w:name w:val="无间隔1"/>
    <w:qFormat/>
    <w:uiPriority w:val="1"/>
    <w:pPr>
      <w:widowControl w:val="0"/>
      <w:jc w:val="both"/>
    </w:pPr>
    <w:rPr>
      <w:rFonts w:ascii="Calibri" w:hAnsi="Calibri" w:eastAsia="宋体" w:cs="Times New Roman"/>
      <w:kern w:val="2"/>
      <w:sz w:val="21"/>
      <w:szCs w:val="22"/>
      <w:lang w:val="en-US" w:eastAsia="zh-CN" w:bidi="ar-SA"/>
    </w:rPr>
  </w:style>
  <w:style w:type="paragraph" w:styleId="5">
    <w:name w:val="Document Map"/>
    <w:basedOn w:val="1"/>
    <w:semiHidden/>
    <w:qFormat/>
    <w:uiPriority w:val="0"/>
    <w:pPr>
      <w:shd w:val="clear" w:color="auto" w:fill="000080"/>
    </w:pPr>
  </w:style>
  <w:style w:type="paragraph" w:styleId="6">
    <w:name w:val="Body Text"/>
    <w:basedOn w:val="1"/>
    <w:link w:val="29"/>
    <w:qFormat/>
    <w:uiPriority w:val="0"/>
    <w:rPr>
      <w:rFonts w:ascii="仿宋_GB2312" w:hAnsi="Times New Roman"/>
      <w:b/>
      <w:bCs/>
      <w:color w:val="FF0000"/>
      <w:sz w:val="36"/>
      <w:szCs w:val="24"/>
      <w:lang w:val="zh-CN"/>
    </w:rPr>
  </w:style>
  <w:style w:type="paragraph" w:styleId="7">
    <w:name w:val="Body Text Indent"/>
    <w:basedOn w:val="1"/>
    <w:link w:val="30"/>
    <w:semiHidden/>
    <w:unhideWhenUsed/>
    <w:qFormat/>
    <w:uiPriority w:val="99"/>
    <w:pPr>
      <w:spacing w:after="120"/>
      <w:ind w:left="420" w:leftChars="200"/>
    </w:pPr>
  </w:style>
  <w:style w:type="paragraph" w:styleId="8">
    <w:name w:val="Balloon Text"/>
    <w:basedOn w:val="1"/>
    <w:link w:val="25"/>
    <w:unhideWhenUsed/>
    <w:qFormat/>
    <w:uiPriority w:val="99"/>
    <w:rPr>
      <w:kern w:val="0"/>
      <w:sz w:val="18"/>
      <w:szCs w:val="18"/>
      <w:lang w:val="zh-CN"/>
    </w:rPr>
  </w:style>
  <w:style w:type="paragraph" w:styleId="9">
    <w:name w:val="footer"/>
    <w:basedOn w:val="1"/>
    <w:link w:val="22"/>
    <w:unhideWhenUsed/>
    <w:qFormat/>
    <w:uiPriority w:val="99"/>
    <w:pPr>
      <w:tabs>
        <w:tab w:val="center" w:pos="4153"/>
        <w:tab w:val="right" w:pos="8306"/>
      </w:tabs>
      <w:snapToGrid w:val="0"/>
      <w:jc w:val="left"/>
    </w:pPr>
    <w:rPr>
      <w:kern w:val="0"/>
      <w:sz w:val="18"/>
      <w:szCs w:val="18"/>
      <w:lang w:val="zh-CN"/>
    </w:rPr>
  </w:style>
  <w:style w:type="paragraph" w:styleId="10">
    <w:name w:val="header"/>
    <w:basedOn w:val="1"/>
    <w:link w:val="24"/>
    <w:unhideWhenUsed/>
    <w:qFormat/>
    <w:uiPriority w:val="99"/>
    <w:pPr>
      <w:pBdr>
        <w:bottom w:val="single" w:color="auto" w:sz="6" w:space="1"/>
      </w:pBdr>
      <w:tabs>
        <w:tab w:val="center" w:pos="4153"/>
        <w:tab w:val="right" w:pos="8306"/>
      </w:tabs>
      <w:snapToGrid w:val="0"/>
      <w:jc w:val="center"/>
    </w:pPr>
    <w:rPr>
      <w:kern w:val="0"/>
      <w:sz w:val="18"/>
      <w:szCs w:val="18"/>
      <w:lang w:val="zh-CN"/>
    </w:rPr>
  </w:style>
  <w:style w:type="paragraph" w:styleId="11">
    <w:name w:val="Body Text Indent 3"/>
    <w:basedOn w:val="1"/>
    <w:link w:val="31"/>
    <w:semiHidden/>
    <w:unhideWhenUsed/>
    <w:qFormat/>
    <w:uiPriority w:val="99"/>
    <w:pPr>
      <w:spacing w:after="120"/>
      <w:ind w:left="420" w:leftChars="200"/>
    </w:pPr>
    <w:rPr>
      <w:sz w:val="16"/>
      <w:szCs w:val="16"/>
    </w:rPr>
  </w:style>
  <w:style w:type="paragraph" w:styleId="12">
    <w:name w:val="HTML Preformatted"/>
    <w:basedOn w:val="1"/>
    <w:link w:val="23"/>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lang w:val="zh-CN"/>
    </w:rPr>
  </w:style>
  <w:style w:type="paragraph" w:styleId="13">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paragraph" w:styleId="14">
    <w:name w:val="Title"/>
    <w:basedOn w:val="1"/>
    <w:next w:val="1"/>
    <w:qFormat/>
    <w:uiPriority w:val="0"/>
    <w:pPr>
      <w:spacing w:before="240" w:after="60"/>
      <w:jc w:val="center"/>
      <w:outlineLvl w:val="0"/>
    </w:pPr>
    <w:rPr>
      <w:rFonts w:ascii="Cambria" w:hAnsi="Cambria"/>
      <w:b/>
      <w:bCs/>
      <w:sz w:val="32"/>
      <w:szCs w:val="32"/>
    </w:rPr>
  </w:style>
  <w:style w:type="table" w:styleId="16">
    <w:name w:val="Table Grid"/>
    <w:basedOn w:val="1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8">
    <w:name w:val="page number"/>
    <w:basedOn w:val="17"/>
    <w:qFormat/>
    <w:uiPriority w:val="0"/>
  </w:style>
  <w:style w:type="character" w:styleId="19">
    <w:name w:val="Hyperlink"/>
    <w:unhideWhenUsed/>
    <w:qFormat/>
    <w:uiPriority w:val="99"/>
    <w:rPr>
      <w:rFonts w:ascii="微软雅黑" w:hAnsi="微软雅黑" w:eastAsia="微软雅黑" w:cs="微软雅黑"/>
      <w:color w:val="000000"/>
      <w:sz w:val="18"/>
      <w:szCs w:val="18"/>
      <w:u w:val="none"/>
    </w:rPr>
  </w:style>
  <w:style w:type="character" w:customStyle="1" w:styleId="20">
    <w:name w:val="bsharetext"/>
    <w:basedOn w:val="17"/>
    <w:qFormat/>
    <w:uiPriority w:val="0"/>
  </w:style>
  <w:style w:type="character" w:customStyle="1" w:styleId="21">
    <w:name w:val="已访问的超链接1"/>
    <w:unhideWhenUsed/>
    <w:qFormat/>
    <w:uiPriority w:val="99"/>
    <w:rPr>
      <w:color w:val="000000"/>
      <w:u w:val="single"/>
    </w:rPr>
  </w:style>
  <w:style w:type="character" w:customStyle="1" w:styleId="22">
    <w:name w:val="页脚 字符"/>
    <w:link w:val="9"/>
    <w:qFormat/>
    <w:uiPriority w:val="99"/>
    <w:rPr>
      <w:sz w:val="18"/>
      <w:szCs w:val="18"/>
    </w:rPr>
  </w:style>
  <w:style w:type="character" w:customStyle="1" w:styleId="23">
    <w:name w:val="HTML 预设格式 字符"/>
    <w:link w:val="12"/>
    <w:qFormat/>
    <w:uiPriority w:val="99"/>
    <w:rPr>
      <w:rFonts w:ascii="宋体" w:hAnsi="宋体" w:cs="宋体"/>
      <w:sz w:val="24"/>
      <w:szCs w:val="24"/>
    </w:rPr>
  </w:style>
  <w:style w:type="character" w:customStyle="1" w:styleId="24">
    <w:name w:val="页眉 字符"/>
    <w:link w:val="10"/>
    <w:qFormat/>
    <w:uiPriority w:val="99"/>
    <w:rPr>
      <w:sz w:val="18"/>
      <w:szCs w:val="18"/>
    </w:rPr>
  </w:style>
  <w:style w:type="character" w:customStyle="1" w:styleId="25">
    <w:name w:val="批注框文本 字符"/>
    <w:link w:val="8"/>
    <w:semiHidden/>
    <w:qFormat/>
    <w:uiPriority w:val="99"/>
    <w:rPr>
      <w:sz w:val="18"/>
      <w:szCs w:val="18"/>
    </w:rPr>
  </w:style>
  <w:style w:type="paragraph" w:customStyle="1" w:styleId="26">
    <w:name w:val="一般正文"/>
    <w:basedOn w:val="1"/>
    <w:qFormat/>
    <w:uiPriority w:val="0"/>
    <w:pPr>
      <w:widowControl/>
      <w:spacing w:line="360" w:lineRule="auto"/>
      <w:ind w:firstLine="200" w:firstLineChars="200"/>
      <w:jc w:val="left"/>
    </w:pPr>
    <w:rPr>
      <w:rFonts w:ascii="Times New Roman" w:hAnsi="Times New Roman"/>
      <w:sz w:val="24"/>
      <w:szCs w:val="24"/>
    </w:rPr>
  </w:style>
  <w:style w:type="paragraph" w:customStyle="1" w:styleId="27">
    <w:name w:val="标题1"/>
    <w:basedOn w:val="1"/>
    <w:qFormat/>
    <w:uiPriority w:val="0"/>
    <w:pPr>
      <w:widowControl/>
      <w:jc w:val="left"/>
    </w:pPr>
    <w:rPr>
      <w:rFonts w:ascii="宋体" w:hAnsi="宋体" w:cs="宋体"/>
      <w:kern w:val="0"/>
      <w:sz w:val="24"/>
      <w:szCs w:val="24"/>
    </w:rPr>
  </w:style>
  <w:style w:type="paragraph" w:styleId="28">
    <w:name w:val="List Paragraph"/>
    <w:basedOn w:val="1"/>
    <w:qFormat/>
    <w:uiPriority w:val="34"/>
    <w:pPr>
      <w:ind w:firstLine="420" w:firstLineChars="200"/>
    </w:pPr>
  </w:style>
  <w:style w:type="character" w:customStyle="1" w:styleId="29">
    <w:name w:val="正文文本 字符"/>
    <w:link w:val="6"/>
    <w:qFormat/>
    <w:uiPriority w:val="0"/>
    <w:rPr>
      <w:rFonts w:ascii="仿宋_GB2312" w:hAnsi="Times New Roman"/>
      <w:b/>
      <w:bCs/>
      <w:color w:val="FF0000"/>
      <w:kern w:val="2"/>
      <w:sz w:val="36"/>
      <w:szCs w:val="24"/>
    </w:rPr>
  </w:style>
  <w:style w:type="character" w:customStyle="1" w:styleId="30">
    <w:name w:val="正文文本缩进 字符"/>
    <w:basedOn w:val="17"/>
    <w:link w:val="7"/>
    <w:semiHidden/>
    <w:qFormat/>
    <w:uiPriority w:val="99"/>
    <w:rPr>
      <w:kern w:val="2"/>
      <w:sz w:val="21"/>
      <w:szCs w:val="22"/>
    </w:rPr>
  </w:style>
  <w:style w:type="character" w:customStyle="1" w:styleId="31">
    <w:name w:val="正文文本缩进 3 字符"/>
    <w:basedOn w:val="17"/>
    <w:link w:val="11"/>
    <w:semiHidden/>
    <w:qFormat/>
    <w:uiPriority w:val="99"/>
    <w:rPr>
      <w:kern w:val="2"/>
      <w:sz w:val="16"/>
      <w:szCs w:val="16"/>
    </w:rPr>
  </w:style>
  <w:style w:type="character" w:customStyle="1" w:styleId="32">
    <w:name w:val="页脚 Char"/>
    <w:qFormat/>
    <w:uiPriority w:val="99"/>
    <w:rPr>
      <w:sz w:val="18"/>
      <w:szCs w:val="18"/>
    </w:rPr>
  </w:style>
  <w:style w:type="character" w:customStyle="1" w:styleId="33">
    <w:name w:val="页眉 Char"/>
    <w:qFormat/>
    <w:uiPriority w:val="99"/>
    <w:rPr>
      <w:sz w:val="18"/>
      <w:szCs w:val="18"/>
    </w:rPr>
  </w:style>
  <w:style w:type="character" w:customStyle="1" w:styleId="34">
    <w:name w:val="标题 1 字符"/>
    <w:basedOn w:val="17"/>
    <w:link w:val="2"/>
    <w:qFormat/>
    <w:uiPriority w:val="9"/>
    <w:rPr>
      <w:b/>
      <w:bCs/>
      <w:kern w:val="44"/>
      <w:sz w:val="44"/>
      <w:szCs w:val="44"/>
    </w:rPr>
  </w:style>
  <w:style w:type="table" w:customStyle="1" w:styleId="35">
    <w:name w:val="Table Normal"/>
    <w:semiHidden/>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table" w:customStyle="1" w:styleId="36">
    <w:name w:val="Table Normal1"/>
    <w:semiHidden/>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paragraph" w:customStyle="1" w:styleId="37">
    <w:name w:val="Table Paragraph"/>
    <w:basedOn w:val="1"/>
    <w:qFormat/>
    <w:uiPriority w:val="1"/>
    <w:pPr>
      <w:autoSpaceDE w:val="0"/>
      <w:autoSpaceDN w:val="0"/>
      <w:jc w:val="left"/>
    </w:pPr>
    <w:rPr>
      <w:rFonts w:ascii="宋体" w:hAnsi="宋体" w:cs="宋体"/>
      <w:kern w:val="0"/>
      <w:sz w:val="22"/>
      <w:lang w:val="zh-CN" w:bidi="zh-CN"/>
    </w:rPr>
  </w:style>
  <w:style w:type="paragraph" w:customStyle="1" w:styleId="38">
    <w:name w:val="p0"/>
    <w:basedOn w:val="1"/>
    <w:qFormat/>
    <w:uiPriority w:val="0"/>
    <w:pPr>
      <w:widowControl/>
    </w:pPr>
    <w:rPr>
      <w:rFonts w:cs="宋体"/>
      <w:kern w:val="0"/>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DB59255-CB6D-4B24-9863-F76AF80B7529}">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13</Pages>
  <Words>2337</Words>
  <Characters>2350</Characters>
  <Lines>63</Lines>
  <Paragraphs>17</Paragraphs>
  <TotalTime>23</TotalTime>
  <ScaleCrop>false</ScaleCrop>
  <LinksUpToDate>false</LinksUpToDate>
  <CharactersWithSpaces>3027</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2021-12-01T07:27:00Z</dcterms:created>
  <dc:creator>user</dc:creator>
  <cp:lastModifiedBy>小九九</cp:lastModifiedBy>
  <cp:lastPrinted>2021-12-06T08:14:00Z</cp:lastPrinted>
  <dcterms:modified xsi:type="dcterms:W3CDTF">2025-01-10T06:30:03Z</dcterms:modified>
  <dc:title>北京住房公积金管理中心文件</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KSOTemplateDocerSaveRecord">
    <vt:lpwstr>eyJoZGlkIjoiZTRkZmQzYzc2NWViYWE4NDA3NWRlY2FjOGRmNTNmZjUiLCJ1c2VySWQiOiI2NjAyOTA1NjYifQ==</vt:lpwstr>
  </property>
  <property fmtid="{D5CDD505-2E9C-101B-9397-08002B2CF9AE}" pid="4" name="ICV">
    <vt:lpwstr>E45C950A89B2438E9AB2256644593DAE_12</vt:lpwstr>
  </property>
</Properties>
</file>