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Times New Roman"/>
          <w:kern w:val="0"/>
          <w:sz w:val="32"/>
          <w:szCs w:val="32"/>
        </w:rPr>
        <w:t>（式样九）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建设工程竣工验收消防备案检查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不合格通知书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X建消竣查字〔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我部门对你单位申报的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（备案文号及工程信息）进行了竣工验收消防备案抽查，经审查资料及现场抽查测试，该工程存在如下问题：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一、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二、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三、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。你单位收到通知书后，应当立即停止使用，组织整改后向我部门申请复查。未经复查合格，该工程不得投入使用。</w:t>
      </w: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此结论仅对当日验收所涉及的系统及设施情况负责。</w:t>
      </w: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如对上述结论存在异议，应在收到本通知书之日起六十日内向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sz w:val="32"/>
          <w:szCs w:val="32"/>
        </w:rPr>
        <w:t>申请行政复议，或者在六个月内依法向北京市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人民法院提起行政诉讼。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right="560" w:firstLine="1440" w:firstLineChars="4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52"/>
    <w:rsid w:val="00131AB1"/>
    <w:rsid w:val="00C10E59"/>
    <w:rsid w:val="00D13F52"/>
    <w:rsid w:val="00FF23F3"/>
    <w:rsid w:val="5520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2019-06-28T15:49:00Z</dcterms:created>
  <dc:creator>271581644@qq.com</dc:creator>
  <cp:lastModifiedBy>   ℡xzh</cp:lastModifiedBy>
  <dcterms:modified xsi:type="dcterms:W3CDTF">2020-03-30T02:05:50Z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