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40" w:rsidRDefault="001E6B40" w:rsidP="001E6B40">
      <w:pPr>
        <w:spacing w:line="560" w:lineRule="exact"/>
        <w:rPr>
          <w:rFonts w:ascii="黑体" w:eastAsia="黑体" w:hAnsi="黑体" w:cs="CESI黑体-GB2312" w:hint="eastAsia"/>
          <w:sz w:val="32"/>
          <w:szCs w:val="32"/>
        </w:rPr>
      </w:pPr>
      <w:r>
        <w:rPr>
          <w:rFonts w:ascii="黑体" w:eastAsia="黑体" w:hAnsi="黑体" w:cs="CESI黑体-GB2312" w:hint="eastAsia"/>
          <w:sz w:val="32"/>
          <w:szCs w:val="32"/>
        </w:rPr>
        <w:t>附件1</w:t>
      </w:r>
    </w:p>
    <w:p w:rsidR="001E6B40" w:rsidRDefault="001E6B40" w:rsidP="001E6B40">
      <w:pPr>
        <w:spacing w:line="560" w:lineRule="exact"/>
        <w:rPr>
          <w:rFonts w:ascii="仿宋_GB2312" w:eastAsia="仿宋_GB2312" w:hint="eastAsia"/>
          <w:sz w:val="32"/>
          <w:szCs w:val="32"/>
        </w:rPr>
      </w:pPr>
    </w:p>
    <w:p w:rsidR="001E6B40" w:rsidRDefault="001E6B40" w:rsidP="001E6B40">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北京市第五批告知承诺审批事项清单</w:t>
      </w:r>
    </w:p>
    <w:p w:rsidR="001E6B40" w:rsidRDefault="001E6B40" w:rsidP="001E6B40">
      <w:pPr>
        <w:spacing w:line="560" w:lineRule="exact"/>
        <w:jc w:val="center"/>
        <w:rPr>
          <w:rFonts w:ascii="方正小标宋简体" w:eastAsia="方正小标宋简体" w:hAnsi="方正小标宋简体" w:cs="方正小标宋简体" w:hint="eastAsia"/>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2359"/>
        <w:gridCol w:w="3415"/>
        <w:gridCol w:w="2350"/>
      </w:tblGrid>
      <w:tr w:rsidR="001E6B40" w:rsidTr="00C25CB0">
        <w:trPr>
          <w:cantSplit/>
          <w:trHeight w:hRule="exact" w:val="523"/>
          <w:tblHeader/>
          <w:jc w:val="center"/>
        </w:trPr>
        <w:tc>
          <w:tcPr>
            <w:tcW w:w="668" w:type="dxa"/>
            <w:vAlign w:val="center"/>
            <w:hideMark/>
          </w:tcPr>
          <w:p w:rsidR="001E6B40" w:rsidRDefault="001E6B40" w:rsidP="00C25CB0">
            <w:pPr>
              <w:widowControl/>
              <w:suppressAutoHyphens/>
              <w:jc w:val="center"/>
              <w:textAlignment w:val="center"/>
              <w:rPr>
                <w:rFonts w:ascii="黑体" w:eastAsia="黑体" w:hAnsi="黑体" w:cs="仿宋_GB2312"/>
                <w:color w:val="000000"/>
                <w:szCs w:val="21"/>
              </w:rPr>
            </w:pPr>
            <w:r>
              <w:rPr>
                <w:rFonts w:ascii="黑体" w:eastAsia="黑体" w:hAnsi="黑体" w:cs="CESI黑体-GB2312" w:hint="eastAsia"/>
                <w:color w:val="000000"/>
                <w:kern w:val="0"/>
                <w:szCs w:val="21"/>
                <w:lang/>
              </w:rPr>
              <w:t>序号</w:t>
            </w:r>
          </w:p>
        </w:tc>
        <w:tc>
          <w:tcPr>
            <w:tcW w:w="2359" w:type="dxa"/>
            <w:vAlign w:val="center"/>
            <w:hideMark/>
          </w:tcPr>
          <w:p w:rsidR="001E6B40" w:rsidRDefault="001E6B40" w:rsidP="00C25CB0">
            <w:pPr>
              <w:widowControl/>
              <w:suppressAutoHyphens/>
              <w:jc w:val="center"/>
              <w:textAlignment w:val="center"/>
              <w:rPr>
                <w:rFonts w:ascii="黑体" w:eastAsia="黑体" w:hAnsi="黑体" w:cs="CESI黑体-GB2312"/>
                <w:color w:val="000000"/>
                <w:szCs w:val="21"/>
              </w:rPr>
            </w:pPr>
            <w:r>
              <w:rPr>
                <w:rFonts w:ascii="黑体" w:eastAsia="黑体" w:hAnsi="黑体" w:cs="CESI黑体-GB2312" w:hint="eastAsia"/>
                <w:color w:val="000000"/>
                <w:kern w:val="0"/>
                <w:szCs w:val="21"/>
                <w:lang/>
              </w:rPr>
              <w:t>业务指导部门</w:t>
            </w:r>
          </w:p>
        </w:tc>
        <w:tc>
          <w:tcPr>
            <w:tcW w:w="3415" w:type="dxa"/>
            <w:vAlign w:val="center"/>
            <w:hideMark/>
          </w:tcPr>
          <w:p w:rsidR="001E6B40" w:rsidRDefault="001E6B40" w:rsidP="00C25CB0">
            <w:pPr>
              <w:widowControl/>
              <w:suppressAutoHyphens/>
              <w:jc w:val="center"/>
              <w:textAlignment w:val="center"/>
              <w:rPr>
                <w:rFonts w:ascii="黑体" w:eastAsia="黑体" w:hAnsi="黑体" w:cs="CESI黑体-GB2312"/>
                <w:color w:val="000000"/>
                <w:szCs w:val="21"/>
              </w:rPr>
            </w:pPr>
            <w:r>
              <w:rPr>
                <w:rFonts w:ascii="黑体" w:eastAsia="黑体" w:hAnsi="黑体" w:cs="CESI黑体-GB2312" w:hint="eastAsia"/>
                <w:color w:val="000000"/>
                <w:kern w:val="0"/>
                <w:szCs w:val="21"/>
                <w:lang/>
              </w:rPr>
              <w:t>事项名称</w:t>
            </w:r>
          </w:p>
        </w:tc>
        <w:tc>
          <w:tcPr>
            <w:tcW w:w="2350" w:type="dxa"/>
            <w:vAlign w:val="center"/>
            <w:hideMark/>
          </w:tcPr>
          <w:p w:rsidR="001E6B40" w:rsidRDefault="001E6B40" w:rsidP="00C25CB0">
            <w:pPr>
              <w:widowControl/>
              <w:suppressAutoHyphens/>
              <w:jc w:val="center"/>
              <w:textAlignment w:val="center"/>
              <w:rPr>
                <w:rFonts w:ascii="黑体" w:eastAsia="黑体" w:hAnsi="黑体" w:cs="CESI黑体-GB2312"/>
                <w:color w:val="000000"/>
                <w:kern w:val="0"/>
                <w:szCs w:val="21"/>
                <w:lang/>
              </w:rPr>
            </w:pPr>
            <w:r>
              <w:rPr>
                <w:rFonts w:ascii="黑体" w:eastAsia="黑体" w:hAnsi="黑体" w:cs="CESI黑体-GB2312" w:hint="eastAsia"/>
                <w:color w:val="000000"/>
                <w:kern w:val="0"/>
                <w:szCs w:val="21"/>
                <w:lang/>
              </w:rPr>
              <w:t>适用范围</w:t>
            </w:r>
          </w:p>
        </w:tc>
      </w:tr>
      <w:tr w:rsidR="001E6B40" w:rsidTr="00C25CB0">
        <w:trPr>
          <w:cantSplit/>
          <w:trHeight w:hRule="exact" w:val="115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t>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市发展改革委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节能审查</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北京城市副中心、北京经济技术开发区</w:t>
            </w:r>
          </w:p>
        </w:tc>
      </w:tr>
      <w:tr w:rsidR="001E6B40" w:rsidTr="00C25CB0">
        <w:trPr>
          <w:cantSplit/>
          <w:trHeight w:val="238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t>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市发展改革委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城建类固定资产投资项目核准</w:t>
            </w:r>
          </w:p>
        </w:tc>
        <w:tc>
          <w:tcPr>
            <w:tcW w:w="2350" w:type="dxa"/>
            <w:vMerge w:val="restart"/>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怀柔科学城、未来科学城、创新型产业集群和“中国制造2025”创新引领示范区及北京大兴国际机场临空经济区（北京部分）内以出让方式供地的基于“多规合一”协同平台的社会投资类仓库和厂房（包含生产线、生产设备投资等产业化内容）的工程建设项目。</w:t>
            </w:r>
          </w:p>
        </w:tc>
      </w:tr>
      <w:tr w:rsidR="001E6B40" w:rsidTr="00C25CB0">
        <w:trPr>
          <w:cantSplit/>
          <w:trHeight w:hRule="exact" w:val="210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t>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市发展改革委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城建类固定资产投资项目核准（含转报）</w:t>
            </w:r>
          </w:p>
        </w:tc>
        <w:tc>
          <w:tcPr>
            <w:tcW w:w="2350" w:type="dxa"/>
            <w:vMerge/>
            <w:vAlign w:val="center"/>
            <w:hideMark/>
          </w:tcPr>
          <w:p w:rsidR="001E6B40" w:rsidRDefault="001E6B40" w:rsidP="00C25CB0">
            <w:pPr>
              <w:widowControl/>
              <w:jc w:val="left"/>
              <w:rPr>
                <w:rFonts w:ascii="仿宋_GB2312" w:eastAsia="仿宋_GB2312" w:hAnsi="宋体" w:cs="仿宋_GB2312"/>
                <w:kern w:val="0"/>
                <w:szCs w:val="21"/>
                <w:lang/>
              </w:rPr>
            </w:pPr>
          </w:p>
        </w:tc>
      </w:tr>
      <w:tr w:rsidR="001E6B40" w:rsidTr="00C25CB0">
        <w:trPr>
          <w:cantSplit/>
          <w:trHeight w:val="129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t>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市教委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实施学历教育、学前教育、自学考试助学及其他文化教育的民办学校招生简章与广告备案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21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t>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市教委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实施学历教育、学前教育、自学考试助学及其他文化教育的民办学校决策机构组成人员备案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34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lastRenderedPageBreak/>
              <w:t>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市教委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实施学历教育、学前教育、自学考试助学及其他文化教育的民办学校修改章程的备案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390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仿宋_GB2312" w:cs="仿宋_GB2312" w:hint="eastAsia"/>
                <w:color w:val="000000"/>
                <w:kern w:val="0"/>
                <w:sz w:val="24"/>
                <w:lang/>
              </w:rPr>
              <w:t>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市教委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对实施中等学历教育、自学考试助学、文化补习、学前教育的中外合作办学以及内地与香港特别行政区、澳门特别行政区和台湾地区合作办学机构的招生简章、招生广告的样本的备案，对实施高等专科教育、非学历高等教育和中等学历教育、自学考试助学、文化补习、学前教育的中外合作办学以及内地与香港特别行政区、澳门特别行政区和台湾地区合作办学项目的招生简章、招生广告的样本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3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lang/>
              </w:rPr>
              <w:t>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市公安局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出租汽车企业治安登记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1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市司法局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关于外国律师事务所驻华代表机构休业</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5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市司法局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对申请变更执业机构律师出具不具有《律师执业管理办法》二十一条情形的证明</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4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市司法局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外国律师事务所合并、分立的备案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6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市司法局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对</w:t>
            </w:r>
            <w:proofErr w:type="gramStart"/>
            <w:r>
              <w:rPr>
                <w:rFonts w:ascii="仿宋_GB2312" w:eastAsia="仿宋_GB2312" w:hAnsi="宋体" w:cs="仿宋_GB2312" w:hint="eastAsia"/>
                <w:color w:val="000000"/>
                <w:kern w:val="0"/>
                <w:szCs w:val="21"/>
                <w:lang/>
              </w:rPr>
              <w:t>侦查机关司法</w:t>
            </w:r>
            <w:proofErr w:type="gramEnd"/>
            <w:r>
              <w:rPr>
                <w:rFonts w:ascii="仿宋_GB2312" w:eastAsia="仿宋_GB2312" w:hAnsi="宋体" w:cs="仿宋_GB2312" w:hint="eastAsia"/>
                <w:color w:val="000000"/>
                <w:kern w:val="0"/>
                <w:szCs w:val="21"/>
                <w:lang/>
              </w:rPr>
              <w:t>鉴定机构进行备案登记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11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企业实行不定时工作制和综合计算工时工作制审批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同时符合以下3项条件的适用告知承诺办理方式：1.北京自贸区内注册的企业及外地企业在北京自贸区设立的分支机构；2.已经在本市取得特殊工时行政许可；3.符合《北京市企业实行综合计算工时工作制和不定时工作制的办法》</w:t>
            </w:r>
            <w:r>
              <w:rPr>
                <w:rFonts w:ascii="仿宋_GB2312" w:eastAsia="仿宋_GB2312" w:hAnsi="仿宋_GB2312" w:cs="仿宋_GB2312" w:hint="eastAsia"/>
                <w:kern w:val="0"/>
                <w:szCs w:val="21"/>
                <w:lang/>
              </w:rPr>
              <w:t>（京</w:t>
            </w:r>
            <w:proofErr w:type="gramStart"/>
            <w:r>
              <w:rPr>
                <w:rFonts w:ascii="仿宋_GB2312" w:eastAsia="仿宋_GB2312" w:hAnsi="仿宋_GB2312" w:cs="仿宋_GB2312" w:hint="eastAsia"/>
                <w:kern w:val="0"/>
                <w:szCs w:val="21"/>
                <w:lang/>
              </w:rPr>
              <w:t>劳社资发</w:t>
            </w:r>
            <w:proofErr w:type="gramEnd"/>
            <w:r>
              <w:rPr>
                <w:rFonts w:ascii="仿宋_GB2312" w:eastAsia="仿宋_GB2312" w:hAnsi="仿宋_GB2312" w:cs="仿宋_GB2312" w:hint="eastAsia"/>
                <w:kern w:val="0"/>
                <w:szCs w:val="21"/>
                <w:lang/>
              </w:rPr>
              <w:t>〔2023〕157号）第十七条有关规定情形，企业名称发生变化或综合计算工时工作制实行期限已满，需要重新申报。</w:t>
            </w:r>
          </w:p>
        </w:tc>
      </w:tr>
      <w:tr w:rsidR="001E6B40" w:rsidTr="00C25CB0">
        <w:trPr>
          <w:cantSplit/>
          <w:trHeight w:hRule="exact" w:val="53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常住外来劳动力个人就业登记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工程咨询（投资）专业技术人员职业资格</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1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注册建筑师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2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监理工程师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2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lastRenderedPageBreak/>
              <w:t>18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环境影响评价工程师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1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翻译专业资格（笔译、口译）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助理社会工作师、社会工作师、高级社会工作师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9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一级注册计量师、二级注册计量师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9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注册设备</w:t>
            </w:r>
            <w:proofErr w:type="gramStart"/>
            <w:r>
              <w:rPr>
                <w:rFonts w:ascii="仿宋_GB2312" w:eastAsia="仿宋_GB2312" w:hAnsi="宋体" w:cs="仿宋_GB2312" w:hint="eastAsia"/>
                <w:color w:val="000000"/>
                <w:kern w:val="0"/>
                <w:szCs w:val="21"/>
                <w:lang/>
              </w:rPr>
              <w:t>监理师</w:t>
            </w:r>
            <w:proofErr w:type="gramEnd"/>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9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注册测绘师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7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建造师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出版专业技术人员职业资格（初级、中级）</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0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执业药师（药学、中药学）</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注册城乡规划师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9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勘察设计注册工程师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6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一级造价工程师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30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注册安全工程师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7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31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经济专业技术资格（初级、中级）</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44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32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市人力资源社会保障局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一级注册消防工程师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33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市规划自然资源委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建设工程规划许可证（社会投资房屋建筑工程）</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3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34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市规划自然资源委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乡村建设规划许可（含临时、社会投资低风险工程）-集体土地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7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35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市规划自然资源委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建设工程规划许可证（社会投资低风险工程）-国有土地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9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36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市规划自然资源委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测绘成果汇交</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0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37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环境影响登记表备案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1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38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对危险化学品生产装置、储存设施以及库存的危险化学品的处置方案进行备案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2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39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对建设项目环境影响后评价报告进行备案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42"/>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对意外事故的防范措施和应急预案进行备案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7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对危险废物管理计划进行备案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转让放射性同位素备案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5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进口放射性同位素备案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5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市生态环境局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出口放射性同位素备案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97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房地产估价机构名称、组织形式、住所变更</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9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房地产估价机构备案证书遗失补证</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3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房地产估价机构备案证书破损换证</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4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48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房地产估价机构备案注销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29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49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房地产估价机构股东、出资比例、注册资本、法定代表人或者执行合伙人、分支机构负责人变更</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9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50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房地产估价机构备案（暂定）</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83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51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房屋建筑工程施工许可证核发</w:t>
            </w:r>
          </w:p>
        </w:tc>
        <w:tc>
          <w:tcPr>
            <w:tcW w:w="2350" w:type="dxa"/>
            <w:vMerge w:val="restart"/>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在北京经济技术开发区核心区（60 平方公里范围）内，依法需办理建筑工程施工许可证的房屋建筑及其附属设施的</w:t>
            </w:r>
            <w:r>
              <w:rPr>
                <w:rFonts w:ascii="仿宋_GB2312" w:eastAsia="仿宋_GB2312" w:hAnsi="宋体" w:cs="仿宋_GB2312" w:hint="eastAsia"/>
                <w:kern w:val="0"/>
                <w:szCs w:val="21"/>
                <w:lang/>
              </w:rPr>
              <w:lastRenderedPageBreak/>
              <w:t>建造、装修装饰和与其配套的线路、管道、设备的安装，以及城镇市政基础设施工程 （社会投资低风险项目除外），可由建设单位自主选择以告知承诺制方式申请办理施工许可手续，试点期限为1年。不适用情形参照《关于在北京经济技术开发区以告知承诺制试点开展施工许可审批的实施方案》执行。</w:t>
            </w:r>
          </w:p>
        </w:tc>
      </w:tr>
      <w:tr w:rsidR="001E6B40" w:rsidTr="00C25CB0">
        <w:trPr>
          <w:cantSplit/>
          <w:trHeight w:val="178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52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市政基础设施工程施工许可证核发</w:t>
            </w:r>
          </w:p>
        </w:tc>
        <w:tc>
          <w:tcPr>
            <w:tcW w:w="2350" w:type="dxa"/>
            <w:vMerge/>
            <w:vAlign w:val="center"/>
            <w:hideMark/>
          </w:tcPr>
          <w:p w:rsidR="001E6B40" w:rsidRDefault="001E6B40" w:rsidP="00C25CB0">
            <w:pPr>
              <w:widowControl/>
              <w:jc w:val="left"/>
              <w:rPr>
                <w:rFonts w:ascii="仿宋_GB2312" w:eastAsia="仿宋_GB2312" w:hAnsi="宋体" w:cs="仿宋_GB2312"/>
                <w:kern w:val="0"/>
                <w:szCs w:val="21"/>
                <w:lang/>
              </w:rPr>
            </w:pPr>
          </w:p>
        </w:tc>
      </w:tr>
      <w:tr w:rsidR="001E6B40" w:rsidTr="00C25CB0">
        <w:trPr>
          <w:cantSplit/>
          <w:trHeight w:val="262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lastRenderedPageBreak/>
              <w:t>53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市住房城乡建设委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装饰装修工程施工许可证核发</w:t>
            </w:r>
          </w:p>
        </w:tc>
        <w:tc>
          <w:tcPr>
            <w:tcW w:w="2350" w:type="dxa"/>
            <w:vMerge/>
            <w:vAlign w:val="center"/>
            <w:hideMark/>
          </w:tcPr>
          <w:p w:rsidR="001E6B40" w:rsidRDefault="001E6B40" w:rsidP="00C25CB0">
            <w:pPr>
              <w:widowControl/>
              <w:jc w:val="left"/>
              <w:rPr>
                <w:rFonts w:ascii="仿宋_GB2312" w:eastAsia="仿宋_GB2312" w:hAnsi="宋体" w:cs="仿宋_GB2312"/>
                <w:kern w:val="0"/>
                <w:szCs w:val="21"/>
                <w:lang/>
              </w:rPr>
            </w:pPr>
          </w:p>
        </w:tc>
      </w:tr>
      <w:tr w:rsidR="001E6B40" w:rsidTr="00C25CB0">
        <w:trPr>
          <w:cantSplit/>
          <w:trHeight w:val="84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54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市交通委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道路旅客运输站经营许可证有效期届满延续</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1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55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市交通委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《国内船舶管理业务经营许可证》有效期届满延续</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67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56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仿宋_GB2312" w:cs="仿宋_GB2312" w:hint="eastAsia"/>
                <w:szCs w:val="21"/>
              </w:rPr>
              <w:t>市交通委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网络货运经营许可</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340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57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市水</w:t>
            </w:r>
            <w:proofErr w:type="gramStart"/>
            <w:r>
              <w:rPr>
                <w:rFonts w:ascii="仿宋_GB2312" w:eastAsia="仿宋_GB2312" w:hAnsi="宋体" w:cs="仿宋_GB2312" w:hint="eastAsia"/>
                <w:kern w:val="0"/>
                <w:szCs w:val="21"/>
                <w:lang/>
              </w:rPr>
              <w:t>务</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城镇污水排入排水管网许可</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排水设施由物业公司或专业公司规范管理，排水许可证有效期届满30日前，申请有效期延续的；水设施由物业公司或专业公司规范管理，在工商登记变更后30日内，申请排水许可证中与工商登记对应信息变更的。</w:t>
            </w:r>
          </w:p>
        </w:tc>
      </w:tr>
      <w:tr w:rsidR="001E6B40" w:rsidTr="00C25CB0">
        <w:trPr>
          <w:cantSplit/>
          <w:trHeight w:val="186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58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市水</w:t>
            </w:r>
            <w:proofErr w:type="gramStart"/>
            <w:r>
              <w:rPr>
                <w:rFonts w:ascii="仿宋_GB2312" w:eastAsia="仿宋_GB2312" w:hAnsi="宋体" w:cs="仿宋_GB2312" w:hint="eastAsia"/>
                <w:kern w:val="0"/>
                <w:szCs w:val="21"/>
                <w:lang/>
              </w:rPr>
              <w:t>务</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水影响评价审查-土地公开交易市场取得土地开发权的企业投资项目</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通过区域水影响评价审查、</w:t>
            </w:r>
            <w:proofErr w:type="gramStart"/>
            <w:r>
              <w:rPr>
                <w:rFonts w:ascii="仿宋_GB2312" w:eastAsia="仿宋_GB2312" w:hAnsi="宋体" w:cs="仿宋_GB2312" w:hint="eastAsia"/>
                <w:kern w:val="0"/>
                <w:szCs w:val="21"/>
                <w:lang/>
              </w:rPr>
              <w:t>规划水</w:t>
            </w:r>
            <w:proofErr w:type="gramEnd"/>
            <w:r>
              <w:rPr>
                <w:rFonts w:ascii="仿宋_GB2312" w:eastAsia="仿宋_GB2312" w:hAnsi="宋体" w:cs="仿宋_GB2312" w:hint="eastAsia"/>
                <w:kern w:val="0"/>
                <w:szCs w:val="21"/>
                <w:lang/>
              </w:rPr>
              <w:t>影响评价审查，除直接准入、备案制、许可准入以外的建设项目。</w:t>
            </w:r>
          </w:p>
        </w:tc>
      </w:tr>
      <w:tr w:rsidR="001E6B40" w:rsidTr="00C25CB0">
        <w:trPr>
          <w:cantSplit/>
          <w:trHeight w:hRule="exact" w:val="185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59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市水</w:t>
            </w:r>
            <w:proofErr w:type="gramStart"/>
            <w:r>
              <w:rPr>
                <w:rFonts w:ascii="仿宋_GB2312" w:eastAsia="仿宋_GB2312" w:hAnsi="宋体" w:cs="仿宋_GB2312" w:hint="eastAsia"/>
                <w:kern w:val="0"/>
                <w:szCs w:val="21"/>
                <w:lang/>
              </w:rPr>
              <w:t>务</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水影响评价审查-其他项目审批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通过区域水影响评价审查、</w:t>
            </w:r>
            <w:proofErr w:type="gramStart"/>
            <w:r>
              <w:rPr>
                <w:rFonts w:ascii="仿宋_GB2312" w:eastAsia="仿宋_GB2312" w:hAnsi="宋体" w:cs="仿宋_GB2312" w:hint="eastAsia"/>
                <w:kern w:val="0"/>
                <w:szCs w:val="21"/>
                <w:lang/>
              </w:rPr>
              <w:t>规划水</w:t>
            </w:r>
            <w:proofErr w:type="gramEnd"/>
            <w:r>
              <w:rPr>
                <w:rFonts w:ascii="仿宋_GB2312" w:eastAsia="仿宋_GB2312" w:hAnsi="宋体" w:cs="仿宋_GB2312" w:hint="eastAsia"/>
                <w:kern w:val="0"/>
                <w:szCs w:val="21"/>
                <w:lang/>
              </w:rPr>
              <w:t>影响评价审查，除直接准入、备案制、许可准入以外的建设项目。</w:t>
            </w: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变更水域滩涂</w:t>
            </w:r>
            <w:proofErr w:type="gramStart"/>
            <w:r>
              <w:rPr>
                <w:rFonts w:ascii="仿宋_GB2312" w:eastAsia="仿宋_GB2312" w:hAnsi="宋体" w:cs="仿宋_GB2312" w:hint="eastAsia"/>
                <w:color w:val="000000"/>
                <w:kern w:val="0"/>
                <w:szCs w:val="21"/>
                <w:lang/>
              </w:rPr>
              <w:t>养殖证</w:t>
            </w:r>
            <w:proofErr w:type="gramEnd"/>
            <w:r>
              <w:rPr>
                <w:rFonts w:ascii="仿宋_GB2312" w:eastAsia="仿宋_GB2312" w:hAnsi="宋体" w:cs="仿宋_GB2312" w:hint="eastAsia"/>
                <w:color w:val="000000"/>
                <w:kern w:val="0"/>
                <w:szCs w:val="21"/>
                <w:lang/>
              </w:rPr>
              <w:t>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更正水域滩涂</w:t>
            </w:r>
            <w:proofErr w:type="gramStart"/>
            <w:r>
              <w:rPr>
                <w:rFonts w:ascii="仿宋_GB2312" w:eastAsia="仿宋_GB2312" w:hAnsi="宋体" w:cs="仿宋_GB2312" w:hint="eastAsia"/>
                <w:color w:val="000000"/>
                <w:kern w:val="0"/>
                <w:szCs w:val="21"/>
                <w:lang/>
              </w:rPr>
              <w:t>养殖证</w:t>
            </w:r>
            <w:proofErr w:type="gramEnd"/>
            <w:r>
              <w:rPr>
                <w:rFonts w:ascii="仿宋_GB2312" w:eastAsia="仿宋_GB2312" w:hAnsi="宋体" w:cs="仿宋_GB2312" w:hint="eastAsia"/>
                <w:color w:val="000000"/>
                <w:kern w:val="0"/>
                <w:szCs w:val="21"/>
                <w:lang/>
              </w:rPr>
              <w:t>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拖拉机和联合收割机驾驶证注销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4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变更农作物种子质量检验机构合格证书审批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5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注销农作物种子质量检验机构合格证书审批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5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变更水生野生动物经营利用许可证审批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补发农药经营许可证审批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67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变更农药经营许可证审批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注销农药经营许可证审批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69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注销农药生产许可证审批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补发农药生产许可证审批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变更农药生产许可证审批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拖拉机和联合收割机注销登记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7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拖拉机和联合收割机抵押登记/注销抵押登记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49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变更肥料登记证审批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69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变更种子生产经营许可证（副证）审批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0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变更种子生产经营许可证（主证）审批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1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补发动物防疫条件合格证（动物隔离场所、动物和动物无害化处理场所）审批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042"/>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注销动物防疫条件合格证（动物隔离场所、动物和动物无害化处理场所）审批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3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79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变更动物防疫条件合格证（动物隔离场所、动物和动物产品无害化处理场所）审批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7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80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变更农产品质</w:t>
            </w:r>
            <w:proofErr w:type="gramStart"/>
            <w:r>
              <w:rPr>
                <w:rFonts w:ascii="仿宋_GB2312" w:eastAsia="仿宋_GB2312" w:hAnsi="宋体" w:cs="仿宋_GB2312" w:hint="eastAsia"/>
                <w:color w:val="000000"/>
                <w:kern w:val="0"/>
                <w:szCs w:val="21"/>
                <w:lang/>
              </w:rPr>
              <w:t>量安全</w:t>
            </w:r>
            <w:proofErr w:type="gramEnd"/>
            <w:r>
              <w:rPr>
                <w:rFonts w:ascii="仿宋_GB2312" w:eastAsia="仿宋_GB2312" w:hAnsi="宋体" w:cs="仿宋_GB2312" w:hint="eastAsia"/>
                <w:color w:val="000000"/>
                <w:kern w:val="0"/>
                <w:szCs w:val="21"/>
                <w:lang/>
              </w:rPr>
              <w:t>检测机构考核合格证书审批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68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变更农业转基因生物加工许可证审批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95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变更动物防疫条件合格证（动物饲养场、养殖小区、动物屠宰加工场所）审批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06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注销动物防疫条件合格证（动物隔离场所、动物和动物无害化处理场所）审批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04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补发动物防疫条件合格证（动物隔离场所、动物和动物无害化处理场所）审批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1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变更种子生产经营许可证（主证）审批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变更种子生产经营许可证（副证）审批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87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变更畜禽定点</w:t>
            </w:r>
            <w:proofErr w:type="gramStart"/>
            <w:r>
              <w:rPr>
                <w:rFonts w:ascii="仿宋_GB2312" w:eastAsia="仿宋_GB2312" w:hAnsi="宋体" w:cs="仿宋_GB2312" w:hint="eastAsia"/>
                <w:color w:val="000000"/>
                <w:kern w:val="0"/>
                <w:szCs w:val="21"/>
                <w:lang/>
              </w:rPr>
              <w:t>屠宰证</w:t>
            </w:r>
            <w:proofErr w:type="gramEnd"/>
            <w:r>
              <w:rPr>
                <w:rFonts w:ascii="仿宋_GB2312" w:eastAsia="仿宋_GB2312" w:hAnsi="宋体" w:cs="仿宋_GB2312" w:hint="eastAsia"/>
                <w:color w:val="000000"/>
                <w:kern w:val="0"/>
                <w:szCs w:val="21"/>
                <w:lang/>
              </w:rPr>
              <w:t>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88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变更饲料生产许可证审批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32"/>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89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补发饲料生产许可证、饲料添加剂生产许可证审批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0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变更食用菌菌种质量检验机构合格证书审批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7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lastRenderedPageBreak/>
              <w:t>91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注销食用菌菌种质量检验机构合格证书审批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2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变更水产苗种生产许可证审批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该项为“水产原种场的水产苗种生产许可证核发”的办理项</w:t>
            </w: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变更生鲜乳收购许可证审批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拖拉机和联合收割机登记事项更正</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新申请兽药经营许可证审批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限生物制品类兽药经营</w:t>
            </w: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续展兽药经营许可证审批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限生物制品类兽药经营</w:t>
            </w: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变更兽药经营许可证审批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限生物制品类兽药经营</w:t>
            </w: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98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市农业农村局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兽药经营变更备案</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限生物制品类兽药经营</w:t>
            </w:r>
          </w:p>
        </w:tc>
      </w:tr>
      <w:tr w:rsidR="001E6B40" w:rsidTr="00C25CB0">
        <w:trPr>
          <w:cantSplit/>
          <w:trHeight w:val="80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99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市商务局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技术进出口合同登记、变更-变更总价类（出口）</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67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市商务局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技术进出口合同登记、变更-变更总价类（进口）</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101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市文化和旅游局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旅行社设立分社</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注销血站执业登记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28"/>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放射卫生防护检测、个人剂量监测机构资质注销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注销放射（乙级）机构认定</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注销放射（甲级）机构认定</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106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医师注销执业注册</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5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香港、澳门特别行政区医师在内地、台湾地区医师在大陆短期执业注销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9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医疗机构注销医疗机构执业许可证</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9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109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医疗保健机构申请母婴保健技术服务项目注销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4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开展助产技术服务的医疗、保健机构许可（母婴保健技术服务机构许可）注销申请</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72"/>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开展计划生育技术服务的医疗、保健机构许可（母婴保健技术服务许可）注销申请</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7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乡村医生执业期满再注册</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7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对医疗机构外出体检备案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0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对开展限制临床应用的医疗技术备案登记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2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职业健康检查机构备案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113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116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婚前保健技术服务机构执业许可（母婴保健机构服务机构许可）注销申请</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111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117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市卫生健康委</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产前筛查技术服务机构执业许可（母婴保健技术服务机构许可）注销申请</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118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w:t>
            </w:r>
            <w:proofErr w:type="gramStart"/>
            <w:r>
              <w:rPr>
                <w:rFonts w:ascii="仿宋_GB2312" w:eastAsia="仿宋_GB2312" w:hAnsi="宋体" w:cs="仿宋_GB2312" w:hint="eastAsia"/>
                <w:kern w:val="0"/>
                <w:szCs w:val="21"/>
                <w:lang/>
              </w:rPr>
              <w:t>应急局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特种作业操作证补发换发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4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119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食品生产加工小作坊登记</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92"/>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120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对注册计量师进行注册管理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121</w:t>
            </w:r>
          </w:p>
        </w:tc>
        <w:tc>
          <w:tcPr>
            <w:tcW w:w="2359" w:type="dxa"/>
            <w:vAlign w:val="center"/>
            <w:hideMark/>
          </w:tcPr>
          <w:p w:rsidR="001E6B40" w:rsidRDefault="001E6B40" w:rsidP="00C25CB0">
            <w:pPr>
              <w:suppressAutoHyphens/>
              <w:rPr>
                <w:rFonts w:ascii="仿宋_GB2312" w:eastAsia="仿宋_GB2312" w:hAnsi="仿宋_GB2312"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小餐饮店新办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122</w:t>
            </w:r>
          </w:p>
        </w:tc>
        <w:tc>
          <w:tcPr>
            <w:tcW w:w="2359" w:type="dxa"/>
            <w:vAlign w:val="center"/>
            <w:hideMark/>
          </w:tcPr>
          <w:p w:rsidR="001E6B40" w:rsidRDefault="001E6B40" w:rsidP="00C25CB0">
            <w:pPr>
              <w:suppressAutoHyphens/>
              <w:rPr>
                <w:rFonts w:ascii="仿宋_GB2312" w:eastAsia="仿宋_GB2312" w:hAnsi="仿宋_GB2312"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小餐饮店变更</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123</w:t>
            </w:r>
          </w:p>
        </w:tc>
        <w:tc>
          <w:tcPr>
            <w:tcW w:w="2359" w:type="dxa"/>
            <w:vAlign w:val="center"/>
            <w:hideMark/>
          </w:tcPr>
          <w:p w:rsidR="001E6B40" w:rsidRDefault="001E6B40" w:rsidP="00C25CB0">
            <w:pPr>
              <w:suppressAutoHyphens/>
              <w:rPr>
                <w:rFonts w:ascii="仿宋_GB2312" w:eastAsia="仿宋_GB2312" w:hAnsi="仿宋_GB2312"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小餐饮店延续</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124</w:t>
            </w:r>
          </w:p>
        </w:tc>
        <w:tc>
          <w:tcPr>
            <w:tcW w:w="2359" w:type="dxa"/>
            <w:vAlign w:val="center"/>
            <w:hideMark/>
          </w:tcPr>
          <w:p w:rsidR="001E6B40" w:rsidRDefault="001E6B40" w:rsidP="00C25CB0">
            <w:pPr>
              <w:suppressAutoHyphens/>
              <w:rPr>
                <w:rFonts w:ascii="仿宋_GB2312" w:eastAsia="仿宋_GB2312" w:hAnsi="仿宋_GB2312"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小餐饮店补办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125</w:t>
            </w:r>
          </w:p>
        </w:tc>
        <w:tc>
          <w:tcPr>
            <w:tcW w:w="2359" w:type="dxa"/>
            <w:vAlign w:val="center"/>
            <w:hideMark/>
          </w:tcPr>
          <w:p w:rsidR="001E6B40" w:rsidRDefault="001E6B40" w:rsidP="00C25CB0">
            <w:pPr>
              <w:suppressAutoHyphens/>
              <w:rPr>
                <w:rFonts w:ascii="仿宋_GB2312" w:eastAsia="仿宋_GB2312" w:hAnsi="仿宋_GB2312" w:cs="仿宋_GB2312"/>
                <w:szCs w:val="21"/>
              </w:rPr>
            </w:pPr>
            <w:r>
              <w:rPr>
                <w:rFonts w:ascii="仿宋_GB2312" w:eastAsia="仿宋_GB2312" w:hAnsi="宋体" w:cs="仿宋_GB2312" w:hint="eastAsia"/>
                <w:kern w:val="0"/>
                <w:szCs w:val="21"/>
                <w:lang/>
              </w:rPr>
              <w:t>市市场监管局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小餐饮店注销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126</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电视剧制作许可证（乙种）核准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127</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设立接收卫星传送的境内电视节目许可</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6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128</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变更、延续接收卫星传送的境内电视节目许可</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2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129</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注销接收卫星传送的境内电视节目许可</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3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130</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设区的市、县级地方新闻单位信息网络传播视听节目许可证申请</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86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131</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设区的市、县级地方新闻单位信息网络传播视听节目许可证变更延续</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95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132</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市广播电视局</w:t>
            </w:r>
          </w:p>
        </w:tc>
        <w:tc>
          <w:tcPr>
            <w:tcW w:w="3415" w:type="dxa"/>
            <w:vAlign w:val="center"/>
            <w:hideMark/>
          </w:tcPr>
          <w:p w:rsidR="001E6B40" w:rsidRDefault="001E6B40" w:rsidP="00C25CB0">
            <w:pPr>
              <w:widowControl/>
              <w:suppressAutoHyphens/>
              <w:jc w:val="left"/>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设区的市、县级地方新闻单位信息网络传播视听节目许可证注销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2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133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市体育局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临时占用公共体育场（馆）设施审批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5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134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市体育局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全民健身设施拆迁或者改变用途批准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4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135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草种经营许可证核发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4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136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草种生产许可证核发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4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137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草种进出口审批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1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138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权限内出售、购买、利用国家重点保护陆生野生动物及其制品审批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139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森林防火期内进入森林防火区进行实弹演习、爆破等活动审批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北京市森林资源损失鉴定机构认定</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2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出售、利用列入名录的非国家重点保护陆生野生动物及其制品的批准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76"/>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工程建设涉及城市绿地树木审批（社会投资项目）</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143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临时占用城市绿化用地审批</w:t>
            </w:r>
          </w:p>
        </w:tc>
        <w:tc>
          <w:tcPr>
            <w:tcW w:w="2350"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kern w:val="0"/>
                <w:szCs w:val="21"/>
                <w:lang/>
              </w:rPr>
              <w:t>北京经济技术开发区</w:t>
            </w: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市园林</w:t>
            </w:r>
            <w:proofErr w:type="gramStart"/>
            <w:r>
              <w:rPr>
                <w:rFonts w:ascii="仿宋_GB2312" w:eastAsia="仿宋_GB2312" w:hAnsi="宋体" w:cs="仿宋_GB2312" w:hint="eastAsia"/>
                <w:kern w:val="0"/>
                <w:szCs w:val="21"/>
                <w:lang/>
              </w:rPr>
              <w:t>绿化局</w:t>
            </w:r>
            <w:proofErr w:type="gramEnd"/>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对无公害食用林产品产地进行认定</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申报人民防空工程设计方案的项目</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申报人民防空工程易地建设的项目</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人防工程竣工验收备案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申报人防工程设计方案的项目</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149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申报人防工程易地建设的项目</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平时使用人民防空工程批准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68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人民防空工程防护设备检测机构开展检测工作前备案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1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市人防办</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人防工程防化设备定点企业销售备案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市粮食和储备局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粮油仓储单位拆迁、改变用途备案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0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市粮食和储备局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粮油仓储物流设施行政征收、征用备案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市粮食和储备局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粮油仓储物流设施初始备案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156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市粮食和储备局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粮油仓储物流设施出租、出借备案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3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补办中医医师资格证书</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6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中医医师（含中医、中西医结合、民族</w:t>
            </w:r>
            <w:proofErr w:type="gramStart"/>
            <w:r>
              <w:rPr>
                <w:rFonts w:ascii="仿宋_GB2312" w:eastAsia="仿宋_GB2312" w:hAnsi="宋体" w:cs="仿宋_GB2312" w:hint="eastAsia"/>
                <w:color w:val="000000"/>
                <w:kern w:val="0"/>
                <w:szCs w:val="21"/>
                <w:lang/>
              </w:rPr>
              <w:t>医</w:t>
            </w:r>
            <w:proofErr w:type="gramEnd"/>
            <w:r>
              <w:rPr>
                <w:rFonts w:ascii="仿宋_GB2312" w:eastAsia="仿宋_GB2312" w:hAnsi="宋体" w:cs="仿宋_GB2312" w:hint="eastAsia"/>
                <w:color w:val="000000"/>
                <w:kern w:val="0"/>
                <w:szCs w:val="21"/>
                <w:lang/>
              </w:rPr>
              <w:t>）重新注册</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3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159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中医医师（含中医、中西医结合、民族</w:t>
            </w:r>
            <w:proofErr w:type="gramStart"/>
            <w:r>
              <w:rPr>
                <w:rFonts w:ascii="仿宋_GB2312" w:eastAsia="仿宋_GB2312" w:hAnsi="宋体" w:cs="仿宋_GB2312" w:hint="eastAsia"/>
                <w:color w:val="000000"/>
                <w:kern w:val="0"/>
                <w:szCs w:val="21"/>
                <w:lang/>
              </w:rPr>
              <w:t>医</w:t>
            </w:r>
            <w:proofErr w:type="gramEnd"/>
            <w:r>
              <w:rPr>
                <w:rFonts w:ascii="仿宋_GB2312" w:eastAsia="仿宋_GB2312" w:hAnsi="宋体" w:cs="仿宋_GB2312" w:hint="eastAsia"/>
                <w:color w:val="000000"/>
                <w:kern w:val="0"/>
                <w:szCs w:val="21"/>
                <w:lang/>
              </w:rPr>
              <w:t>）注销注册</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00"/>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中医医师（含中医、中西医结合、民族</w:t>
            </w:r>
            <w:proofErr w:type="gramStart"/>
            <w:r>
              <w:rPr>
                <w:rFonts w:ascii="仿宋_GB2312" w:eastAsia="仿宋_GB2312" w:hAnsi="宋体" w:cs="仿宋_GB2312" w:hint="eastAsia"/>
                <w:color w:val="000000"/>
                <w:kern w:val="0"/>
                <w:szCs w:val="21"/>
                <w:lang/>
              </w:rPr>
              <w:t>医</w:t>
            </w:r>
            <w:proofErr w:type="gramEnd"/>
            <w:r>
              <w:rPr>
                <w:rFonts w:ascii="仿宋_GB2312" w:eastAsia="仿宋_GB2312" w:hAnsi="宋体" w:cs="仿宋_GB2312" w:hint="eastAsia"/>
                <w:color w:val="000000"/>
                <w:kern w:val="0"/>
                <w:szCs w:val="21"/>
                <w:lang/>
              </w:rPr>
              <w:t>）补办《医师执业证书》</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5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中医医师（含中医、中西医结合、民族</w:t>
            </w:r>
            <w:proofErr w:type="gramStart"/>
            <w:r>
              <w:rPr>
                <w:rFonts w:ascii="仿宋_GB2312" w:eastAsia="仿宋_GB2312" w:hAnsi="宋体" w:cs="仿宋_GB2312" w:hint="eastAsia"/>
                <w:color w:val="000000"/>
                <w:kern w:val="0"/>
                <w:szCs w:val="21"/>
                <w:lang/>
              </w:rPr>
              <w:t>医</w:t>
            </w:r>
            <w:proofErr w:type="gramEnd"/>
            <w:r>
              <w:rPr>
                <w:rFonts w:ascii="仿宋_GB2312" w:eastAsia="仿宋_GB2312" w:hAnsi="宋体" w:cs="仿宋_GB2312" w:hint="eastAsia"/>
                <w:color w:val="000000"/>
                <w:kern w:val="0"/>
                <w:szCs w:val="21"/>
                <w:lang/>
              </w:rPr>
              <w:t>）执业变更注册</w:t>
            </w:r>
          </w:p>
        </w:tc>
        <w:tc>
          <w:tcPr>
            <w:tcW w:w="2350" w:type="dxa"/>
            <w:vAlign w:val="center"/>
          </w:tcPr>
          <w:p w:rsidR="001E6B40" w:rsidRDefault="001E6B40" w:rsidP="00C25CB0">
            <w:pPr>
              <w:widowControl/>
              <w:suppressAutoHyphens/>
              <w:textAlignment w:val="center"/>
              <w:rPr>
                <w:rFonts w:ascii="仿宋_GB2312" w:eastAsia="仿宋_GB2312" w:hAnsi="仿宋_GB2312" w:cs="仿宋_GB2312"/>
                <w:szCs w:val="21"/>
              </w:rPr>
            </w:pPr>
          </w:p>
        </w:tc>
      </w:tr>
      <w:tr w:rsidR="001E6B40" w:rsidTr="00C25CB0">
        <w:trPr>
          <w:cantSplit/>
          <w:trHeight w:val="78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中医医师（含中医、中西医结合、民族</w:t>
            </w:r>
            <w:proofErr w:type="gramStart"/>
            <w:r>
              <w:rPr>
                <w:rFonts w:ascii="仿宋_GB2312" w:eastAsia="仿宋_GB2312" w:hAnsi="宋体" w:cs="仿宋_GB2312" w:hint="eastAsia"/>
                <w:color w:val="000000"/>
                <w:kern w:val="0"/>
                <w:szCs w:val="21"/>
                <w:lang/>
              </w:rPr>
              <w:t>医</w:t>
            </w:r>
            <w:proofErr w:type="gramEnd"/>
            <w:r>
              <w:rPr>
                <w:rFonts w:ascii="仿宋_GB2312" w:eastAsia="仿宋_GB2312" w:hAnsi="宋体" w:cs="仿宋_GB2312" w:hint="eastAsia"/>
                <w:color w:val="000000"/>
                <w:kern w:val="0"/>
                <w:szCs w:val="21"/>
                <w:lang/>
              </w:rPr>
              <w:t>）申请注册医师多机构备案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1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中医医师（含中医、中西医结合、民族</w:t>
            </w:r>
            <w:proofErr w:type="gramStart"/>
            <w:r>
              <w:rPr>
                <w:rFonts w:ascii="仿宋_GB2312" w:eastAsia="仿宋_GB2312" w:hAnsi="宋体" w:cs="仿宋_GB2312" w:hint="eastAsia"/>
                <w:color w:val="000000"/>
                <w:kern w:val="0"/>
                <w:szCs w:val="21"/>
                <w:lang/>
              </w:rPr>
              <w:t>医</w:t>
            </w:r>
            <w:proofErr w:type="gramEnd"/>
            <w:r>
              <w:rPr>
                <w:rFonts w:ascii="仿宋_GB2312" w:eastAsia="仿宋_GB2312" w:hAnsi="宋体" w:cs="仿宋_GB2312" w:hint="eastAsia"/>
                <w:color w:val="000000"/>
                <w:kern w:val="0"/>
                <w:szCs w:val="21"/>
                <w:lang/>
              </w:rPr>
              <w:t>）申请取消多机构备案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8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中医医疗广告发布审查</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9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kern w:val="0"/>
                <w:szCs w:val="21"/>
                <w:lang/>
              </w:rPr>
              <w:t>市中医局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对盲人医疗按摩人员在执业前予以备案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1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药品批发企业经营许可证变更企业名称、企业负责人、质量负责人</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10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药品零售企业经营许可证变更企业名称、法定代表人、企业负责人、质量负责人、连锁经营方式</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05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168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《医疗机构制剂许可证》变更单位名称、法定代表人、负责人、注册地址、医疗机构类别</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169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第二类体外诊断试剂产品变更备案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第二类医疗器械产品变更备案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46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《医疗器械生产许可证》非许可事项变更（变更企业名称、法定代表人、企业负责人、住所、生产地址文字性变更、减少生产产品）</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医疗器械经营许可证补发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医疗器械经营许可证登记事项变更</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《医疗器械生产许可证》补发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769"/>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第二类医疗器械（包含体外诊断试剂）产品注册证注销</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0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《药品生产许可证》、《医疗机构制剂许可证》补证</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80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医疗器械网络交易服务第三方平台备案凭证补发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31"/>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178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《药品经营许可证》补证</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val="1324"/>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179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药品零售连锁企业（总部）经营许可证变更企业名称、法定代表人、企业负责人、质量负责人、连锁经营方式</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医疗器械临床试验的备案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第一类医疗器械备案新办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第一类医疗器械备案凭证遗失补办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第一类医疗器械注销备案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第一类医疗器械变更备案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第一类医疗器械生产变更备案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第一类医疗器械生产备案新办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69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《第一类医疗器械生产备案凭证》遗失补发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第二类医疗器械经营备案凭证变更</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189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第二类医疗器械经营备案凭证办理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第二类医疗器械经营备案凭证补发</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191</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医疗器械网络销售备案变更</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192</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医疗器械网络销售备案办理</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193</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发布药品广告备案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194</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医疗器械产品出口销售证明</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195</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医疗机构制剂变更配制单位名称许可</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196</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第一类体外诊断试剂注销备案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197</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第一类体外诊断试剂变更备案</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33"/>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lastRenderedPageBreak/>
              <w:t>198</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第一类体外诊断试剂备案凭证遗失补办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199</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第一类体外诊断试剂备案新办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735"/>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sz w:val="24"/>
                <w:szCs w:val="24"/>
              </w:rPr>
            </w:pPr>
            <w:r>
              <w:rPr>
                <w:rFonts w:ascii="仿宋_GB2312" w:eastAsia="仿宋_GB2312" w:hAnsi="宋体" w:cs="仿宋_GB2312" w:hint="eastAsia"/>
                <w:color w:val="000000"/>
                <w:kern w:val="0"/>
                <w:sz w:val="24"/>
                <w:lang/>
              </w:rPr>
              <w:t>200</w:t>
            </w:r>
          </w:p>
        </w:tc>
        <w:tc>
          <w:tcPr>
            <w:tcW w:w="2359" w:type="dxa"/>
            <w:vAlign w:val="center"/>
            <w:hideMark/>
          </w:tcPr>
          <w:p w:rsidR="001E6B40" w:rsidRDefault="001E6B40" w:rsidP="00C25CB0">
            <w:pPr>
              <w:widowControl/>
              <w:suppressAutoHyphens/>
              <w:textAlignment w:val="center"/>
              <w:rPr>
                <w:rFonts w:ascii="仿宋_GB2312" w:eastAsia="仿宋_GB2312" w:hAnsi="宋体" w:cs="仿宋_GB2312"/>
                <w:szCs w:val="21"/>
              </w:rPr>
            </w:pPr>
            <w:proofErr w:type="gramStart"/>
            <w:r>
              <w:rPr>
                <w:rFonts w:ascii="仿宋_GB2312" w:eastAsia="仿宋_GB2312" w:hAnsi="宋体" w:cs="仿宋_GB2312" w:hint="eastAsia"/>
                <w:kern w:val="0"/>
                <w:szCs w:val="21"/>
                <w:lang/>
              </w:rPr>
              <w:t>市药监</w:t>
            </w:r>
            <w:proofErr w:type="gramEnd"/>
            <w:r>
              <w:rPr>
                <w:rFonts w:ascii="仿宋_GB2312" w:eastAsia="仿宋_GB2312" w:hAnsi="宋体" w:cs="仿宋_GB2312" w:hint="eastAsia"/>
                <w:kern w:val="0"/>
                <w:szCs w:val="21"/>
                <w:lang/>
              </w:rPr>
              <w:t>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第二类医疗器械（包含体外诊断试剂）产品注册证补办</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r w:rsidR="001E6B40" w:rsidTr="00C25CB0">
        <w:trPr>
          <w:cantSplit/>
          <w:trHeight w:hRule="exact" w:val="567"/>
          <w:jc w:val="center"/>
        </w:trPr>
        <w:tc>
          <w:tcPr>
            <w:tcW w:w="668" w:type="dxa"/>
            <w:vAlign w:val="center"/>
            <w:hideMark/>
          </w:tcPr>
          <w:p w:rsidR="001E6B40" w:rsidRDefault="001E6B40" w:rsidP="00C25CB0">
            <w:pPr>
              <w:widowControl/>
              <w:suppressAutoHyphens/>
              <w:jc w:val="center"/>
              <w:textAlignment w:val="center"/>
              <w:rPr>
                <w:rFonts w:ascii="仿宋_GB2312" w:eastAsia="仿宋_GB2312" w:hAnsi="仿宋_GB2312" w:cs="仿宋_GB2312"/>
                <w:kern w:val="0"/>
                <w:sz w:val="24"/>
                <w:szCs w:val="24"/>
                <w:lang/>
              </w:rPr>
            </w:pPr>
            <w:r>
              <w:rPr>
                <w:rFonts w:ascii="仿宋_GB2312" w:eastAsia="仿宋_GB2312" w:hAnsi="宋体" w:cs="仿宋_GB2312" w:hint="eastAsia"/>
                <w:color w:val="000000"/>
                <w:kern w:val="0"/>
                <w:sz w:val="24"/>
                <w:lang/>
              </w:rPr>
              <w:t>201</w:t>
            </w:r>
          </w:p>
        </w:tc>
        <w:tc>
          <w:tcPr>
            <w:tcW w:w="2359" w:type="dxa"/>
            <w:vAlign w:val="center"/>
            <w:hideMark/>
          </w:tcPr>
          <w:p w:rsidR="001E6B40" w:rsidRDefault="001E6B40" w:rsidP="00C25CB0">
            <w:pPr>
              <w:suppressAutoHyphens/>
              <w:rPr>
                <w:rFonts w:ascii="仿宋_GB2312" w:eastAsia="仿宋_GB2312" w:hAnsi="宋体" w:cs="仿宋_GB2312"/>
                <w:kern w:val="0"/>
                <w:szCs w:val="21"/>
                <w:lang/>
              </w:rPr>
            </w:pPr>
            <w:r>
              <w:rPr>
                <w:rFonts w:ascii="仿宋_GB2312" w:eastAsia="仿宋_GB2312" w:hAnsi="仿宋_GB2312" w:cs="仿宋_GB2312" w:hint="eastAsia"/>
                <w:szCs w:val="21"/>
              </w:rPr>
              <w:t>市电影局</w:t>
            </w:r>
          </w:p>
        </w:tc>
        <w:tc>
          <w:tcPr>
            <w:tcW w:w="3415" w:type="dxa"/>
            <w:vAlign w:val="center"/>
            <w:hideMark/>
          </w:tcPr>
          <w:p w:rsidR="001E6B40" w:rsidRDefault="001E6B40" w:rsidP="00C25CB0">
            <w:pPr>
              <w:widowControl/>
              <w:suppressAutoHyphens/>
              <w:textAlignment w:val="center"/>
              <w:rPr>
                <w:rFonts w:ascii="仿宋_GB2312" w:eastAsia="仿宋_GB2312" w:hAnsi="宋体" w:cs="仿宋_GB2312"/>
                <w:kern w:val="0"/>
                <w:szCs w:val="21"/>
                <w:lang/>
              </w:rPr>
            </w:pPr>
            <w:r>
              <w:rPr>
                <w:rFonts w:ascii="仿宋_GB2312" w:eastAsia="仿宋_GB2312" w:hAnsi="宋体" w:cs="仿宋_GB2312" w:hint="eastAsia"/>
                <w:color w:val="000000"/>
                <w:kern w:val="0"/>
                <w:szCs w:val="21"/>
                <w:lang/>
              </w:rPr>
              <w:t>电影放映单位设立审批</w:t>
            </w:r>
          </w:p>
        </w:tc>
        <w:tc>
          <w:tcPr>
            <w:tcW w:w="2350" w:type="dxa"/>
            <w:vAlign w:val="center"/>
          </w:tcPr>
          <w:p w:rsidR="001E6B40" w:rsidRDefault="001E6B40" w:rsidP="00C25CB0">
            <w:pPr>
              <w:widowControl/>
              <w:suppressAutoHyphens/>
              <w:textAlignment w:val="center"/>
              <w:rPr>
                <w:rFonts w:ascii="仿宋_GB2312" w:eastAsia="仿宋_GB2312" w:hAnsi="宋体" w:cs="仿宋_GB2312"/>
                <w:kern w:val="0"/>
                <w:szCs w:val="21"/>
                <w:lang/>
              </w:rPr>
            </w:pPr>
          </w:p>
        </w:tc>
      </w:tr>
    </w:tbl>
    <w:p w:rsidR="008860F5" w:rsidRPr="001E6B40" w:rsidRDefault="008860F5"/>
    <w:sectPr w:rsidR="008860F5" w:rsidRPr="001E6B40" w:rsidSect="008860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微软雅黑"/>
    <w:charset w:val="86"/>
    <w:family w:val="auto"/>
    <w:pitch w:val="default"/>
    <w:sig w:usb0="00000000" w:usb1="184F6CF8" w:usb2="00000012" w:usb3="00000000" w:csb0="0004000F"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B2F97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878936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948FAD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5B8422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35CF65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600940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616DF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4F0FB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D31EAE4C"/>
    <w:lvl w:ilvl="0">
      <w:start w:val="1"/>
      <w:numFmt w:val="decimal"/>
      <w:lvlText w:val="%1."/>
      <w:lvlJc w:val="left"/>
      <w:pPr>
        <w:tabs>
          <w:tab w:val="num" w:pos="360"/>
        </w:tabs>
        <w:ind w:left="360" w:hangingChars="200" w:hanging="360"/>
      </w:pPr>
    </w:lvl>
  </w:abstractNum>
  <w:abstractNum w:abstractNumId="9">
    <w:nsid w:val="FFFFFF89"/>
    <w:multiLevelType w:val="singleLevel"/>
    <w:tmpl w:val="0942690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B40"/>
    <w:rsid w:val="001E6B40"/>
    <w:rsid w:val="00886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40"/>
    <w:pPr>
      <w:widowControl w:val="0"/>
      <w:jc w:val="both"/>
    </w:pPr>
    <w:rPr>
      <w:rFonts w:ascii="Calibri" w:eastAsia="宋体" w:hAnsi="Calibri" w:cs="Times New Roman"/>
    </w:rPr>
  </w:style>
  <w:style w:type="paragraph" w:styleId="2">
    <w:name w:val="heading 2"/>
    <w:basedOn w:val="a"/>
    <w:next w:val="a"/>
    <w:link w:val="2Char"/>
    <w:qFormat/>
    <w:rsid w:val="001E6B40"/>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E6B40"/>
    <w:rPr>
      <w:rFonts w:ascii="Cambria" w:eastAsia="宋体" w:hAnsi="Cambria" w:cs="宋体"/>
      <w:b/>
      <w:bCs/>
      <w:sz w:val="32"/>
      <w:szCs w:val="32"/>
    </w:rPr>
  </w:style>
  <w:style w:type="paragraph" w:styleId="a3">
    <w:name w:val="header"/>
    <w:basedOn w:val="a"/>
    <w:link w:val="Char"/>
    <w:unhideWhenUsed/>
    <w:rsid w:val="001E6B40"/>
    <w:pPr>
      <w:pBdr>
        <w:bottom w:val="single" w:sz="6" w:space="1" w:color="auto"/>
      </w:pBdr>
      <w:tabs>
        <w:tab w:val="center" w:pos="4153"/>
        <w:tab w:val="right" w:pos="8306"/>
      </w:tabs>
      <w:snapToGrid w:val="0"/>
      <w:jc w:val="center"/>
    </w:pPr>
    <w:rPr>
      <w:sz w:val="18"/>
      <w:szCs w:val="18"/>
      <w:lang/>
    </w:rPr>
  </w:style>
  <w:style w:type="character" w:customStyle="1" w:styleId="Char">
    <w:name w:val="页眉 Char"/>
    <w:basedOn w:val="a0"/>
    <w:link w:val="a3"/>
    <w:rsid w:val="001E6B40"/>
    <w:rPr>
      <w:rFonts w:ascii="Calibri" w:eastAsia="宋体" w:hAnsi="Calibri" w:cs="Times New Roman"/>
      <w:sz w:val="18"/>
      <w:szCs w:val="18"/>
      <w:lang/>
    </w:rPr>
  </w:style>
  <w:style w:type="paragraph" w:styleId="a4">
    <w:name w:val="footer"/>
    <w:basedOn w:val="a"/>
    <w:link w:val="Char0"/>
    <w:uiPriority w:val="99"/>
    <w:unhideWhenUsed/>
    <w:rsid w:val="001E6B40"/>
    <w:pPr>
      <w:tabs>
        <w:tab w:val="center" w:pos="4153"/>
        <w:tab w:val="right" w:pos="8306"/>
      </w:tabs>
      <w:snapToGrid w:val="0"/>
      <w:jc w:val="left"/>
    </w:pPr>
    <w:rPr>
      <w:sz w:val="18"/>
      <w:szCs w:val="18"/>
      <w:lang/>
    </w:rPr>
  </w:style>
  <w:style w:type="character" w:customStyle="1" w:styleId="Char0">
    <w:name w:val="页脚 Char"/>
    <w:basedOn w:val="a0"/>
    <w:link w:val="a4"/>
    <w:uiPriority w:val="99"/>
    <w:rsid w:val="001E6B40"/>
    <w:rPr>
      <w:rFonts w:ascii="Calibri" w:eastAsia="宋体" w:hAnsi="Calibri" w:cs="Times New Roman"/>
      <w:sz w:val="18"/>
      <w:szCs w:val="18"/>
      <w:lang/>
    </w:rPr>
  </w:style>
  <w:style w:type="table" w:styleId="a5">
    <w:name w:val="Table Grid"/>
    <w:basedOn w:val="a1"/>
    <w:rsid w:val="001E6B40"/>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E6B40"/>
    <w:rPr>
      <w:sz w:val="18"/>
      <w:szCs w:val="18"/>
      <w:lang/>
    </w:rPr>
  </w:style>
  <w:style w:type="character" w:customStyle="1" w:styleId="Char1">
    <w:name w:val="批注框文本 Char"/>
    <w:basedOn w:val="a0"/>
    <w:link w:val="a6"/>
    <w:uiPriority w:val="99"/>
    <w:semiHidden/>
    <w:rsid w:val="001E6B40"/>
    <w:rPr>
      <w:rFonts w:ascii="Calibri" w:eastAsia="宋体" w:hAnsi="Calibri" w:cs="Times New Roman"/>
      <w:sz w:val="18"/>
      <w:szCs w:val="18"/>
      <w:lang/>
    </w:rPr>
  </w:style>
  <w:style w:type="paragraph" w:styleId="a7">
    <w:name w:val="Date"/>
    <w:basedOn w:val="a"/>
    <w:next w:val="a"/>
    <w:link w:val="Char2"/>
    <w:uiPriority w:val="99"/>
    <w:semiHidden/>
    <w:unhideWhenUsed/>
    <w:rsid w:val="001E6B40"/>
    <w:pPr>
      <w:ind w:leftChars="2500" w:left="100"/>
    </w:pPr>
    <w:rPr>
      <w:lang/>
    </w:rPr>
  </w:style>
  <w:style w:type="character" w:customStyle="1" w:styleId="Char2">
    <w:name w:val="日期 Char"/>
    <w:basedOn w:val="a0"/>
    <w:link w:val="a7"/>
    <w:uiPriority w:val="99"/>
    <w:semiHidden/>
    <w:rsid w:val="001E6B40"/>
    <w:rPr>
      <w:rFonts w:ascii="Calibri" w:eastAsia="宋体" w:hAnsi="Calibri" w:cs="Times New Roman"/>
      <w:lang/>
    </w:rPr>
  </w:style>
  <w:style w:type="character" w:customStyle="1" w:styleId="Char3">
    <w:name w:val="纯文本 Char"/>
    <w:link w:val="a8"/>
    <w:locked/>
    <w:rsid w:val="001E6B40"/>
    <w:rPr>
      <w:rFonts w:ascii="宋体" w:eastAsia="宋体" w:hAnsi="Courier New" w:cs="Courier New"/>
      <w:szCs w:val="21"/>
    </w:rPr>
  </w:style>
  <w:style w:type="paragraph" w:styleId="a8">
    <w:name w:val="Plain Text"/>
    <w:basedOn w:val="a"/>
    <w:link w:val="Char3"/>
    <w:rsid w:val="001E6B40"/>
    <w:rPr>
      <w:rFonts w:ascii="宋体" w:hAnsi="Courier New" w:cs="Courier New"/>
      <w:szCs w:val="21"/>
    </w:rPr>
  </w:style>
  <w:style w:type="character" w:customStyle="1" w:styleId="Char10">
    <w:name w:val="纯文本 Char1"/>
    <w:basedOn w:val="a0"/>
    <w:link w:val="a8"/>
    <w:uiPriority w:val="99"/>
    <w:semiHidden/>
    <w:rsid w:val="001E6B40"/>
    <w:rPr>
      <w:rFonts w:ascii="宋体" w:eastAsia="宋体" w:hAnsi="Courier New" w:cs="Courier New"/>
      <w:szCs w:val="21"/>
    </w:rPr>
  </w:style>
  <w:style w:type="character" w:styleId="a9">
    <w:name w:val="page number"/>
    <w:basedOn w:val="a0"/>
    <w:rsid w:val="001E6B40"/>
  </w:style>
  <w:style w:type="character" w:customStyle="1" w:styleId="HTMLChar">
    <w:name w:val="HTML 预设格式 Char"/>
    <w:link w:val="HTML"/>
    <w:semiHidden/>
    <w:rsid w:val="001E6B40"/>
    <w:rPr>
      <w:rFonts w:ascii="宋体" w:hAnsi="宋体"/>
      <w:sz w:val="24"/>
      <w:szCs w:val="24"/>
    </w:rPr>
  </w:style>
  <w:style w:type="paragraph" w:styleId="HTML">
    <w:name w:val="HTML Preformatted"/>
    <w:basedOn w:val="a"/>
    <w:link w:val="HTMLChar"/>
    <w:semiHidden/>
    <w:unhideWhenUsed/>
    <w:rsid w:val="001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eastAsiaTheme="minorEastAsia" w:hAnsi="宋体" w:cstheme="minorBidi"/>
      <w:sz w:val="24"/>
      <w:szCs w:val="24"/>
    </w:rPr>
  </w:style>
  <w:style w:type="character" w:customStyle="1" w:styleId="HTMLChar1">
    <w:name w:val="HTML 预设格式 Char1"/>
    <w:basedOn w:val="a0"/>
    <w:link w:val="HTML"/>
    <w:uiPriority w:val="99"/>
    <w:semiHidden/>
    <w:rsid w:val="001E6B40"/>
    <w:rPr>
      <w:rFonts w:ascii="Courier New" w:eastAsia="宋体" w:hAnsi="Courier New" w:cs="Courier New"/>
      <w:sz w:val="20"/>
      <w:szCs w:val="20"/>
    </w:rPr>
  </w:style>
  <w:style w:type="character" w:customStyle="1" w:styleId="Char4">
    <w:name w:val="正文文本 Char"/>
    <w:link w:val="aa"/>
    <w:semiHidden/>
    <w:rsid w:val="001E6B40"/>
    <w:rPr>
      <w:szCs w:val="24"/>
    </w:rPr>
  </w:style>
  <w:style w:type="paragraph" w:styleId="aa">
    <w:name w:val="Body Text"/>
    <w:basedOn w:val="a"/>
    <w:link w:val="Char4"/>
    <w:semiHidden/>
    <w:unhideWhenUsed/>
    <w:rsid w:val="001E6B40"/>
    <w:pPr>
      <w:suppressAutoHyphens/>
      <w:spacing w:after="140" w:line="276" w:lineRule="auto"/>
    </w:pPr>
    <w:rPr>
      <w:rFonts w:asciiTheme="minorHAnsi" w:eastAsiaTheme="minorEastAsia" w:hAnsiTheme="minorHAnsi" w:cstheme="minorBidi"/>
      <w:szCs w:val="24"/>
    </w:rPr>
  </w:style>
  <w:style w:type="character" w:customStyle="1" w:styleId="Char11">
    <w:name w:val="正文文本 Char1"/>
    <w:basedOn w:val="a0"/>
    <w:link w:val="aa"/>
    <w:uiPriority w:val="99"/>
    <w:semiHidden/>
    <w:rsid w:val="001E6B40"/>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EDZ</dc:creator>
  <cp:lastModifiedBy>EDZ</cp:lastModifiedBy>
  <cp:revision>1</cp:revision>
  <dcterms:created xsi:type="dcterms:W3CDTF">2022-06-02T09:45:00Z</dcterms:created>
  <dcterms:modified xsi:type="dcterms:W3CDTF">2022-06-02T09:45:00Z</dcterms:modified>
</cp:coreProperties>
</file>