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 w:ascii="仿宋_GB2312" w:eastAsia="仿宋_GB2312"/>
          <w:sz w:val="28"/>
          <w:szCs w:val="28"/>
        </w:rPr>
        <w:t>连续停运超过180天的，还需提供</w:t>
      </w:r>
      <w:bookmarkStart w:id="0" w:name="_GoBack"/>
      <w:bookmarkEnd w:id="0"/>
      <w:r>
        <w:rPr>
          <w:rFonts w:hint="eastAsia" w:ascii="仿宋_GB2312" w:eastAsia="仿宋_GB2312"/>
          <w:sz w:val="28"/>
          <w:szCs w:val="28"/>
        </w:rPr>
        <w:t>说明材料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3NWI5NzdiNzE1MThjZTI3MzYwYWIwODI3ZDFiOTMifQ=="/>
  </w:docVars>
  <w:rsids>
    <w:rsidRoot w:val="42A562A3"/>
    <w:rsid w:val="42A56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2023-09-22T07:55:00Z</dcterms:created>
  <dc:creator>奶茶</dc:creator>
  <cp:lastModifiedBy>奶茶</cp:lastModifiedBy>
  <dcterms:modified xsi:type="dcterms:W3CDTF">2023-09-22T07:59:25Z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C418EEC5AF9C497AA1DCE10BE3E397AD_11</vt:lpwstr>
  </property>
</Properties>
</file>