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sz w:val="36"/>
          <w:szCs w:val="36"/>
          <w:lang w:eastAsia="zh-CN"/>
        </w:rPr>
        <w:t>企业法人合并协议</w:t>
      </w:r>
    </w:p>
    <w:p>
      <w:pPr>
        <w:spacing w:line="240" w:lineRule="auto"/>
        <w:ind w:firstLine="640"/>
        <w:jc w:val="left"/>
        <w:rPr>
          <w:rFonts w:hint="default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甲方：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合并前甲方的企业名称 </w:t>
      </w:r>
    </w:p>
    <w:p>
      <w:pPr>
        <w:spacing w:line="240" w:lineRule="auto"/>
        <w:ind w:firstLine="640"/>
        <w:jc w:val="left"/>
        <w:rPr>
          <w:rFonts w:hint="default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乙方：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合并前乙方的企业名称 </w:t>
      </w:r>
    </w:p>
    <w:p>
      <w:pPr>
        <w:spacing w:line="240" w:lineRule="auto"/>
        <w:ind w:firstLine="640"/>
        <w:jc w:val="left"/>
        <w:rPr>
          <w:rFonts w:hint="eastAsia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甲乙双方经平等协商，就甲方和乙方合并成立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合并后的企业名称 </w:t>
      </w: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的相关事宜达成以下协议：</w:t>
      </w:r>
    </w:p>
    <w:p>
      <w:pPr>
        <w:numPr>
          <w:ilvl w:val="0"/>
          <w:numId w:val="0"/>
        </w:numPr>
        <w:spacing w:line="240" w:lineRule="auto"/>
        <w:ind w:firstLine="500" w:firstLineChars="200"/>
        <w:jc w:val="left"/>
        <w:rPr>
          <w:rFonts w:hint="eastAsia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一、合并双方的名称：甲方为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合并前甲方的企业名称 </w:t>
      </w:r>
      <w:r>
        <w:rPr>
          <w:rFonts w:hint="eastAsia" w:ascii="仿宋" w:hAnsi="仿宋" w:eastAsia="仿宋" w:cs="仿宋"/>
          <w:sz w:val="25"/>
          <w:szCs w:val="25"/>
          <w:u w:val="none"/>
          <w:lang w:val="en-US" w:eastAsia="zh-CN"/>
        </w:rPr>
        <w:t>，统一社会信用代码是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合并前甲方的统一社会信用代码 </w:t>
      </w:r>
      <w:r>
        <w:rPr>
          <w:rFonts w:hint="eastAsia" w:ascii="仿宋" w:hAnsi="仿宋" w:eastAsia="仿宋" w:cs="仿宋"/>
          <w:sz w:val="25"/>
          <w:szCs w:val="25"/>
          <w:u w:val="none"/>
          <w:lang w:val="en-US" w:eastAsia="zh-CN"/>
        </w:rPr>
        <w:t>；乙方为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合并前乙方的企业名称 </w:t>
      </w:r>
      <w:r>
        <w:rPr>
          <w:rFonts w:hint="eastAsia" w:ascii="仿宋" w:hAnsi="仿宋" w:eastAsia="仿宋" w:cs="仿宋"/>
          <w:sz w:val="25"/>
          <w:szCs w:val="25"/>
          <w:u w:val="none"/>
          <w:lang w:val="en-US" w:eastAsia="zh-CN"/>
        </w:rPr>
        <w:t>，统一社会信用代码是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合并前乙方的统一社会信用代码 </w:t>
      </w:r>
      <w:r>
        <w:rPr>
          <w:rFonts w:hint="eastAsia" w:ascii="仿宋" w:hAnsi="仿宋" w:eastAsia="仿宋" w:cs="仿宋"/>
          <w:sz w:val="25"/>
          <w:szCs w:val="25"/>
          <w:u w:val="none"/>
          <w:lang w:val="en-US" w:eastAsia="zh-CN"/>
        </w:rPr>
        <w:t>。</w:t>
      </w:r>
    </w:p>
    <w:p>
      <w:pPr>
        <w:numPr>
          <w:ilvl w:val="0"/>
          <w:numId w:val="0"/>
        </w:numPr>
        <w:spacing w:line="240" w:lineRule="auto"/>
        <w:ind w:firstLine="500" w:firstLineChars="200"/>
        <w:jc w:val="left"/>
        <w:rPr>
          <w:rFonts w:hint="eastAsia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二、合并形式：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企业合并的具体方式 </w:t>
      </w:r>
    </w:p>
    <w:p>
      <w:pPr>
        <w:numPr>
          <w:ilvl w:val="0"/>
          <w:numId w:val="0"/>
        </w:numPr>
        <w:spacing w:line="240" w:lineRule="auto"/>
        <w:ind w:firstLine="500" w:firstLineChars="200"/>
        <w:jc w:val="left"/>
        <w:rPr>
          <w:rFonts w:hint="eastAsia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三、合并后公司的名称：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合并后的企业名称 </w:t>
      </w:r>
    </w:p>
    <w:p>
      <w:pPr>
        <w:numPr>
          <w:ilvl w:val="0"/>
          <w:numId w:val="0"/>
        </w:numPr>
        <w:spacing w:line="240" w:lineRule="auto"/>
        <w:ind w:firstLine="500" w:firstLineChars="200"/>
        <w:jc w:val="left"/>
        <w:rPr>
          <w:rFonts w:hint="eastAsia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四、合并后公司的注册资本：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合并后的注册资本 </w:t>
      </w:r>
    </w:p>
    <w:p>
      <w:pPr>
        <w:numPr>
          <w:ilvl w:val="0"/>
          <w:numId w:val="0"/>
        </w:numPr>
        <w:spacing w:line="240" w:lineRule="auto"/>
        <w:ind w:firstLine="500" w:firstLineChars="200"/>
        <w:jc w:val="left"/>
        <w:rPr>
          <w:rFonts w:hint="eastAsia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五、合并双方债权、债务的承继方案：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双方原有债权债务的处置办法 </w:t>
      </w:r>
    </w:p>
    <w:p>
      <w:pPr>
        <w:numPr>
          <w:ilvl w:val="0"/>
          <w:numId w:val="0"/>
        </w:numPr>
        <w:spacing w:line="240" w:lineRule="auto"/>
        <w:ind w:firstLine="500" w:firstLineChars="200"/>
        <w:jc w:val="left"/>
        <w:rPr>
          <w:rFonts w:hint="default" w:ascii="仿宋" w:hAnsi="仿宋" w:eastAsia="仿宋" w:cs="仿宋"/>
          <w:sz w:val="25"/>
          <w:szCs w:val="25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六、原有分公司、持有其他公司股权的处置办法：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甲方、乙方原有分公司和所持股权的处置办法 </w:t>
      </w:r>
    </w:p>
    <w:p>
      <w:pPr>
        <w:numPr>
          <w:ilvl w:val="0"/>
          <w:numId w:val="0"/>
        </w:numPr>
        <w:spacing w:line="240" w:lineRule="auto"/>
        <w:ind w:firstLine="500" w:firstLineChars="200"/>
        <w:jc w:val="left"/>
        <w:rPr>
          <w:rFonts w:hint="eastAsia" w:ascii="仿宋" w:hAnsi="仿宋" w:eastAsia="仿宋" w:cs="仿宋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七、双方确认，两公司原有全部作品的著作财产权，即《中华人民共和国著作权法》第十条第一款第（五）项至第（十七）项规定的权利，由新成立的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 合并后的企业名称  </w:t>
      </w:r>
      <w:r>
        <w:rPr>
          <w:rFonts w:hint="eastAsia" w:ascii="仿宋" w:hAnsi="仿宋" w:eastAsia="仿宋" w:cs="仿宋"/>
          <w:sz w:val="25"/>
          <w:szCs w:val="25"/>
          <w:u w:val="none"/>
          <w:lang w:val="en-US" w:eastAsia="zh-CN"/>
        </w:rPr>
        <w:t>承继。</w:t>
      </w:r>
    </w:p>
    <w:p>
      <w:pPr>
        <w:spacing w:line="240" w:lineRule="auto"/>
        <w:ind w:firstLine="640"/>
        <w:jc w:val="left"/>
        <w:rPr>
          <w:rFonts w:hint="eastAsia" w:ascii="仿宋" w:hAnsi="仿宋" w:eastAsia="仿宋" w:cs="仿宋"/>
          <w:color w:val="FF0000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八、……</w:t>
      </w:r>
      <w:r>
        <w:rPr>
          <w:rFonts w:hint="eastAsia" w:ascii="仿宋" w:hAnsi="仿宋" w:eastAsia="仿宋" w:cs="仿宋"/>
          <w:color w:val="FF0000"/>
          <w:sz w:val="25"/>
          <w:szCs w:val="25"/>
          <w:lang w:val="en-US" w:eastAsia="zh-CN"/>
        </w:rPr>
        <w:t>（双方认为需要约定的其他事项）</w:t>
      </w:r>
    </w:p>
    <w:p>
      <w:pPr>
        <w:spacing w:line="240" w:lineRule="auto"/>
        <w:ind w:firstLine="640"/>
        <w:jc w:val="left"/>
        <w:rPr>
          <w:rFonts w:hint="eastAsia" w:ascii="仿宋" w:hAnsi="仿宋" w:eastAsia="仿宋" w:cs="仿宋"/>
          <w:color w:val="FF0000"/>
          <w:sz w:val="25"/>
          <w:szCs w:val="25"/>
          <w:lang w:val="en-US" w:eastAsia="zh-CN"/>
        </w:rPr>
      </w:pPr>
      <w:r>
        <w:rPr>
          <w:rFonts w:hint="eastAsia" w:ascii="仿宋" w:hAnsi="仿宋" w:eastAsia="仿宋" w:cs="仿宋"/>
          <w:sz w:val="25"/>
          <w:szCs w:val="25"/>
          <w:lang w:val="en-US" w:eastAsia="zh-CN"/>
        </w:rPr>
        <w:t>……</w:t>
      </w:r>
      <w:r>
        <w:rPr>
          <w:rFonts w:hint="eastAsia" w:ascii="仿宋" w:hAnsi="仿宋" w:eastAsia="仿宋" w:cs="仿宋"/>
          <w:color w:val="FF0000"/>
          <w:sz w:val="25"/>
          <w:szCs w:val="25"/>
          <w:lang w:val="en-US" w:eastAsia="zh-CN"/>
        </w:rPr>
        <w:t>（双方认为需要补充说明的其他情况）</w:t>
      </w:r>
    </w:p>
    <w:p>
      <w:pPr>
        <w:spacing w:line="240" w:lineRule="auto"/>
        <w:jc w:val="left"/>
        <w:rPr>
          <w:rFonts w:hint="eastAsia" w:ascii="仿宋" w:hAnsi="仿宋" w:eastAsia="仿宋" w:cs="仿宋"/>
          <w:color w:val="000000" w:themeColor="text1"/>
          <w:sz w:val="25"/>
          <w:szCs w:val="25"/>
          <w:u w:val="singl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25"/>
          <w:szCs w:val="25"/>
          <w:lang w:val="en-US" w:eastAsia="zh-CN"/>
          <w14:textFill>
            <w14:solidFill>
              <w14:schemeClr w14:val="tx1"/>
            </w14:solidFill>
          </w14:textFill>
        </w:rPr>
        <w:t>甲方</w:t>
      </w:r>
      <w:r>
        <w:rPr>
          <w:rFonts w:hint="eastAsia" w:ascii="仿宋" w:hAnsi="仿宋" w:eastAsia="仿宋" w:cs="仿宋"/>
          <w:color w:val="FF0000"/>
          <w:sz w:val="25"/>
          <w:szCs w:val="25"/>
          <w:lang w:val="en-US" w:eastAsia="zh-CN"/>
        </w:rPr>
        <w:t>（盖章）</w:t>
      </w:r>
      <w:r>
        <w:rPr>
          <w:rFonts w:hint="eastAsia" w:ascii="仿宋" w:hAnsi="仿宋" w:eastAsia="仿宋" w:cs="仿宋"/>
          <w:color w:val="000000" w:themeColor="text1"/>
          <w:sz w:val="25"/>
          <w:szCs w:val="25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FF0000"/>
          <w:sz w:val="25"/>
          <w:szCs w:val="25"/>
          <w:lang w:eastAsia="zh-CN"/>
        </w:rPr>
        <w:t>名称完整，盖章清晰</w:t>
      </w:r>
      <w:r>
        <w:rPr>
          <w:rFonts w:hint="eastAsia" w:ascii="仿宋" w:hAnsi="仿宋" w:eastAsia="仿宋" w:cs="仿宋"/>
          <w:color w:val="FF0000"/>
          <w:sz w:val="25"/>
          <w:szCs w:val="25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z w:val="25"/>
          <w:szCs w:val="25"/>
          <w:lang w:val="en-US" w:eastAsia="zh-CN"/>
          <w14:textFill>
            <w14:solidFill>
              <w14:schemeClr w14:val="tx1"/>
            </w14:solidFill>
          </w14:textFill>
        </w:rPr>
        <w:t>乙方</w:t>
      </w:r>
      <w:r>
        <w:rPr>
          <w:rFonts w:hint="eastAsia" w:ascii="仿宋" w:hAnsi="仿宋" w:eastAsia="仿宋" w:cs="仿宋"/>
          <w:color w:val="FF0000"/>
          <w:sz w:val="25"/>
          <w:szCs w:val="25"/>
          <w:lang w:val="en-US" w:eastAsia="zh-CN"/>
        </w:rPr>
        <w:t>（盖章）</w:t>
      </w:r>
      <w:r>
        <w:rPr>
          <w:rFonts w:hint="eastAsia" w:ascii="仿宋" w:hAnsi="仿宋" w:eastAsia="仿宋" w:cs="仿宋"/>
          <w:color w:val="000000" w:themeColor="text1"/>
          <w:sz w:val="25"/>
          <w:szCs w:val="25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FF0000"/>
          <w:sz w:val="25"/>
          <w:szCs w:val="25"/>
          <w:lang w:eastAsia="zh-CN"/>
        </w:rPr>
        <w:t>名称完整，盖章清晰</w:t>
      </w:r>
    </w:p>
    <w:p>
      <w:pPr>
        <w:spacing w:line="240" w:lineRule="auto"/>
        <w:ind w:firstLine="640"/>
        <w:jc w:val="left"/>
        <w:rPr>
          <w:rFonts w:hint="default" w:ascii="仿宋" w:hAnsi="仿宋" w:eastAsia="仿宋" w:cs="仿宋"/>
          <w:color w:val="000000" w:themeColor="text1"/>
          <w:sz w:val="25"/>
          <w:szCs w:val="25"/>
          <w:u w:val="singl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25"/>
          <w:szCs w:val="25"/>
          <w:u w:val="none"/>
          <w:lang w:val="en-US" w:eastAsia="zh-CN"/>
          <w14:textFill>
            <w14:solidFill>
              <w14:schemeClr w14:val="tx1"/>
            </w14:solidFill>
          </w14:textFill>
        </w:rPr>
        <w:t xml:space="preserve">                  签订地点：</w:t>
      </w:r>
      <w:r>
        <w:rPr>
          <w:rFonts w:hint="eastAsia" w:ascii="仿宋" w:hAnsi="仿宋" w:eastAsia="仿宋" w:cs="仿宋"/>
          <w:color w:val="FF0000"/>
          <w:sz w:val="25"/>
          <w:szCs w:val="25"/>
          <w:u w:val="single"/>
          <w:lang w:val="en-US" w:eastAsia="zh-CN"/>
        </w:rPr>
        <w:t xml:space="preserve"> 协议签订的具体区县 </w:t>
      </w:r>
    </w:p>
    <w:p>
      <w:pPr>
        <w:spacing w:line="240" w:lineRule="auto"/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FF0000"/>
          <w:sz w:val="25"/>
          <w:szCs w:val="25"/>
          <w:lang w:val="en-US" w:eastAsia="zh-CN"/>
        </w:rPr>
        <w:t xml:space="preserve">                                  </w:t>
      </w:r>
      <w:r>
        <w:rPr>
          <w:rFonts w:hint="eastAsia" w:ascii="仿宋" w:hAnsi="仿宋" w:eastAsia="仿宋" w:cs="仿宋"/>
          <w:color w:val="000000" w:themeColor="text1"/>
          <w:sz w:val="25"/>
          <w:szCs w:val="25"/>
          <w:lang w:val="en-US" w:eastAsia="zh-CN"/>
          <w14:textFill>
            <w14:solidFill>
              <w14:schemeClr w14:val="tx1"/>
            </w14:solidFill>
          </w14:textFill>
        </w:rPr>
        <w:t xml:space="preserve">年    月   日 </w:t>
      </w:r>
      <w:r>
        <w:rPr>
          <w:rFonts w:hint="eastAsia" w:ascii="仿宋" w:hAnsi="仿宋" w:eastAsia="仿宋" w:cs="仿宋"/>
          <w:color w:val="FF0000"/>
          <w:sz w:val="25"/>
          <w:szCs w:val="25"/>
          <w:lang w:eastAsia="zh-CN"/>
        </w:rPr>
        <w:t>签署文件的具体日期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2ZGE4MjdlMGIzN2QwNzY2N2Q0YTA5NmRjMDBiMTUifQ=="/>
    <w:docVar w:name="KSO_WPS_MARK_KEY" w:val="7f7546fa-6daf-49a6-8ea4-4dc40f27836f"/>
  </w:docVars>
  <w:rsids>
    <w:rsidRoot w:val="00000000"/>
    <w:rsid w:val="00473031"/>
    <w:rsid w:val="02D212D8"/>
    <w:rsid w:val="04710A64"/>
    <w:rsid w:val="06DF2215"/>
    <w:rsid w:val="07F97307"/>
    <w:rsid w:val="088A61B1"/>
    <w:rsid w:val="09D65B51"/>
    <w:rsid w:val="0BC20BD2"/>
    <w:rsid w:val="0CC750C1"/>
    <w:rsid w:val="105A290D"/>
    <w:rsid w:val="14261483"/>
    <w:rsid w:val="1BE67586"/>
    <w:rsid w:val="1FDE18C2"/>
    <w:rsid w:val="20943C19"/>
    <w:rsid w:val="237D6BE6"/>
    <w:rsid w:val="27037402"/>
    <w:rsid w:val="285C501C"/>
    <w:rsid w:val="285E6FE6"/>
    <w:rsid w:val="2AE13EFE"/>
    <w:rsid w:val="2CE43832"/>
    <w:rsid w:val="2E823302"/>
    <w:rsid w:val="31554CFE"/>
    <w:rsid w:val="34411641"/>
    <w:rsid w:val="35262C3A"/>
    <w:rsid w:val="4B2772B4"/>
    <w:rsid w:val="4CB132D9"/>
    <w:rsid w:val="4E487C6D"/>
    <w:rsid w:val="53803A05"/>
    <w:rsid w:val="58B8154B"/>
    <w:rsid w:val="598F6750"/>
    <w:rsid w:val="5D6B1282"/>
    <w:rsid w:val="639257BA"/>
    <w:rsid w:val="63CB4828"/>
    <w:rsid w:val="63DF3FF8"/>
    <w:rsid w:val="6A870859"/>
    <w:rsid w:val="6CA4030D"/>
    <w:rsid w:val="6E4753F3"/>
    <w:rsid w:val="75537797"/>
    <w:rsid w:val="75A1188D"/>
    <w:rsid w:val="75D21A46"/>
    <w:rsid w:val="76490ED0"/>
    <w:rsid w:val="77065E4C"/>
    <w:rsid w:val="7BA2010D"/>
    <w:rsid w:val="7BC260B9"/>
    <w:rsid w:val="7E101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466</Words>
  <Characters>466</Characters>
  <Lines>0</Lines>
  <Paragraphs>0</Paragraphs>
  <TotalTime>6</TotalTime>
  <ScaleCrop>false</ScaleCrop>
  <LinksUpToDate>false</LinksUpToDate>
  <CharactersWithSpaces>624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baijiangxia</dc:creator>
  <cp:lastModifiedBy>兴安丽人</cp:lastModifiedBy>
  <dcterms:modified xsi:type="dcterms:W3CDTF">2023-03-20T02:25:34Z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CC2A37305815482691ECD215D8C9C88D</vt:lpwstr>
  </property>
</Properties>
</file>