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微软雅黑"/>
          <w:i w:val="0"/>
          <w:caps w:val="0"/>
          <w:color w:val="404040"/>
          <w:spacing w:val="8"/>
          <w:sz w:val="24"/>
          <w:szCs w:val="24"/>
          <w:shd w:val="clear" w:fill="FFFFFF"/>
        </w:rPr>
      </w:pPr>
    </w:p>
    <w:p>
      <w:pPr>
        <w:rPr>
          <w:rFonts w:ascii="微软雅黑" w:hAnsi="微软雅黑" w:eastAsia="微软雅黑" w:cs="微软雅黑"/>
          <w:i w:val="0"/>
          <w:caps w:val="0"/>
          <w:color w:val="404040"/>
          <w:spacing w:val="8"/>
          <w:sz w:val="24"/>
          <w:szCs w:val="24"/>
          <w:shd w:val="clear" w:fill="FFFFFF"/>
        </w:rPr>
      </w:pPr>
    </w:p>
    <w:p>
      <w:pPr>
        <w:rPr>
          <w:rFonts w:ascii="微软雅黑" w:hAnsi="微软雅黑" w:eastAsia="微软雅黑" w:cs="微软雅黑"/>
          <w:i w:val="0"/>
          <w:caps w:val="0"/>
          <w:color w:val="404040"/>
          <w:spacing w:val="8"/>
          <w:sz w:val="24"/>
          <w:szCs w:val="24"/>
          <w:shd w:val="clear" w:fill="FFFFFF"/>
        </w:rPr>
      </w:pPr>
    </w:p>
    <w:p>
      <w:pPr>
        <w:rPr>
          <w:rFonts w:ascii="微软雅黑" w:hAnsi="微软雅黑" w:eastAsia="微软雅黑" w:cs="微软雅黑"/>
          <w:i w:val="0"/>
          <w:caps w:val="0"/>
          <w:color w:val="404040"/>
          <w:spacing w:val="8"/>
          <w:sz w:val="24"/>
          <w:szCs w:val="24"/>
          <w:shd w:val="clear" w:fill="FFFFFF"/>
        </w:rPr>
      </w:pPr>
    </w:p>
    <w:p>
      <w:pPr>
        <w:rPr>
          <w:rFonts w:ascii="微软雅黑" w:hAnsi="微软雅黑" w:eastAsia="微软雅黑" w:cs="微软雅黑"/>
          <w:i w:val="0"/>
          <w:caps w:val="0"/>
          <w:color w:val="404040"/>
          <w:spacing w:val="8"/>
          <w:sz w:val="24"/>
          <w:szCs w:val="24"/>
          <w:shd w:val="clear" w:fill="FFFFFF"/>
        </w:rPr>
      </w:pPr>
    </w:p>
    <w:p>
      <w:pPr>
        <w:rPr>
          <w:rFonts w:hint="eastAsia" w:eastAsia="微软雅黑"/>
          <w:color w:val="auto"/>
          <w:lang w:val="en-US" w:eastAsia="zh-CN"/>
        </w:rPr>
      </w:pPr>
      <w:r>
        <w:rPr>
          <w:rFonts w:ascii="微软雅黑" w:hAnsi="微软雅黑" w:eastAsia="微软雅黑" w:cs="微软雅黑"/>
          <w:i w:val="0"/>
          <w:caps w:val="0"/>
          <w:color w:val="404040"/>
          <w:spacing w:val="8"/>
          <w:sz w:val="24"/>
          <w:szCs w:val="24"/>
          <w:shd w:val="clear" w:fill="FFFFFF"/>
        </w:rPr>
        <w:t>电动自行车在注册前经人民法院调解、裁定或者判决所有权转移的其来历凭证是人民法院出具的已经生效的《调解书》、《裁定书》或者《判决书》以及</w:t>
      </w:r>
      <w:r>
        <w:rPr>
          <w:rFonts w:ascii="微软雅黑" w:hAnsi="微软雅黑" w:eastAsia="微软雅黑" w:cs="微软雅黑"/>
          <w:i w:val="0"/>
          <w:caps w:val="0"/>
          <w:color w:val="FF0000"/>
          <w:spacing w:val="8"/>
          <w:sz w:val="24"/>
          <w:szCs w:val="24"/>
          <w:highlight w:val="none"/>
          <w:shd w:val="clear" w:fill="FFFFFF"/>
        </w:rPr>
        <w:t>相应的《协助执行通知书》</w:t>
      </w:r>
      <w:r>
        <w:rPr>
          <w:rFonts w:hint="eastAsia" w:ascii="微软雅黑" w:hAnsi="微软雅黑" w:eastAsia="微软雅黑" w:cs="微软雅黑"/>
          <w:i w:val="0"/>
          <w:caps w:val="0"/>
          <w:color w:val="auto"/>
          <w:spacing w:val="8"/>
          <w:sz w:val="24"/>
          <w:szCs w:val="24"/>
          <w:highlight w:val="none"/>
          <w:shd w:val="clear" w:fill="FFFFFF"/>
          <w:lang w:eastAsia="zh-CN"/>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A030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2023-07-25T05:32:45Z</dcterms:created>
  <dc:creator>chgs-jiaguan02</dc:creator>
  <cp:lastModifiedBy>chgs-jiaguan02</cp:lastModifiedBy>
  <dcterms:modified xsi:type="dcterms:W3CDTF">2023-07-25T05:33:40Z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