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经营性人力资源服务机构申请</w:t>
      </w:r>
    </w:p>
    <w:p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人力资源服务</w: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许可告知承诺书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基本信息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  <w:t>（一）政府部门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机关名称：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>XXX区人力资源和社会保障局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咨询方式：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 xml:space="preserve"> 6452XXXX 或办事大厅         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</w:rPr>
        <w:t>（二）申请人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名    称：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  <w:lang w:eastAsia="zh-CN"/>
        </w:rPr>
        <w:t>北京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XXX人力资源公司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统一社会信用代码：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>91110102795972</w:t>
      </w:r>
      <w:r>
        <w:rPr>
          <w:rFonts w:hint="eastAsia" w:ascii="仿宋_GB2312" w:hAnsi="仿宋" w:eastAsia="仿宋_GB2312"/>
          <w:sz w:val="32"/>
          <w:szCs w:val="32"/>
          <w:u w:val="single"/>
        </w:rPr>
        <w:t>XXXX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法人姓名：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 xml:space="preserve">XXX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联系方式：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>186XXXXXXXX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  <w:t>（三）委托代理人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姓    名：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联系方式：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>186XXXXXXXX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证件类型：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sym w:font="Wingdings 2" w:char="0052"/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 xml:space="preserve"> 身份证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□ 护照 □ 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证件编号：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>11010219780523</w:t>
      </w:r>
      <w:r>
        <w:rPr>
          <w:rFonts w:hint="default" w:ascii="CESI仿宋-GB13000" w:hAnsi="CESI仿宋-GB13000" w:eastAsia="CESI仿宋-GB13000" w:cs="CESI仿宋-GB13000"/>
          <w:color w:val="000000"/>
          <w:sz w:val="32"/>
          <w:szCs w:val="32"/>
          <w:u w:val="single"/>
          <w:lang w:val="en" w:eastAsia="zh-CN"/>
        </w:rPr>
        <w:t>XXXX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center"/>
        <w:textAlignment w:val="auto"/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  <w:t>政府部门告知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（一）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办理事项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（二）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事项依据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：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《人力资源市场暂行条例》第十八条。    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（三）准予办理的条件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市场监督管理部门登记注册的法人企业，且《营业执照》的经营范围标有“职业中介活动”；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有健全可行的职业中介活动制度；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3.有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开展职业中介活动所需固定场所、办公设施</w:t>
      </w:r>
      <w:r>
        <w:rPr>
          <w:rFonts w:hint="eastAsia" w:ascii="CESI仿宋-GB13000" w:hAnsi="CESI仿宋-GB13000" w:eastAsia="CESI仿宋-GB13000" w:cs="CESI仿宋-GB1300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和一定数额的开办资金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有不少于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名具备相应职业资质符合</w:t>
      </w:r>
      <w:r>
        <w:rPr>
          <w:rFonts w:ascii="仿宋_GB2312" w:hAnsi="仿宋" w:eastAsia="仿宋_GB2312" w:cs="仿宋_GB2312"/>
          <w:sz w:val="32"/>
          <w:szCs w:val="32"/>
          <w:u w:val="none"/>
        </w:rPr>
        <w:t>规定的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专职工作人员。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  <w:t>通过互联网开展职业中介活动的，</w:t>
      </w:r>
      <w:r>
        <w:rPr>
          <w:rFonts w:hint="eastAsia" w:ascii="CESI仿宋-GB13000" w:hAnsi="CESI仿宋-GB13000" w:eastAsia="CESI仿宋-GB13000" w:cs="CESI仿宋-GB13000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应当依法取得电信业务经营许可资质，建立</w:t>
      </w:r>
      <w:r>
        <w:rPr>
          <w:rFonts w:hint="eastAsia" w:ascii="CESI仿宋-GB13000" w:hAnsi="CESI仿宋-GB13000" w:eastAsia="CESI仿宋-GB13000" w:cs="CESI仿宋-GB13000"/>
          <w:b w:val="0"/>
          <w:bCs w:val="0"/>
          <w:kern w:val="0"/>
          <w:sz w:val="32"/>
          <w:szCs w:val="32"/>
          <w:u w:val="none"/>
          <w:lang w:val="en-US" w:eastAsia="zh-CN"/>
        </w:rPr>
        <w:t>求职者个人信息安全监测预警制度，有网络安全保护技术措施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6.现有经营场所地址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eastAsia="zh-CN"/>
        </w:rPr>
        <w:t>与注册地址不符的，应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  <w:t>按照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《北京市优化营商环境条例》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第十二条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五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款之规定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</w:rPr>
        <w:t>公示实际经营场所地址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 xml:space="preserve">（四）违诺惩戒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1.申请人未履行承诺被责令限期整改后，未在规定时间内进行整改或整改后仍未达到条件的，撤销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2.申请人虚假承诺的，直接撤销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3.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申请人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违诺失信行为将共享至“北京市公共信用信息服务平台”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，其信息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公示标准和公示时间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以及申请信用修复的条件、渠道、方式、期限和程序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按照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（五）政府部门职责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1.服务内容：仅对申请人提出的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申请和承诺内容进行审查，不再对专职工作人员、办公场所、职业中介活动管理制度等事项进行审核，也不再进行现场核查。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2.监管方式：作出准予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决定后纳入日常监管范围，对申请人履行承诺情况开展检查。检查结果将及时告知申请人。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3.承担责任：未按照规定告知造成的法律后果。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4.违反承诺行为的分类：违诺失信行为分为未履行承诺和虚假承诺两类。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 xml:space="preserve">（六）申诉渠道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1.申请人认为“北京市公共信用信息服务平台”的违诺失信信息与事实不符或者不应公开的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，应按照有关规定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向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相关部门提出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异议申请。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2.申请人认为履诺检查结果与实际不符的，可以向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区人力资源社会保障部门提出异议申请。申请人对区人力资源社会保障部门作出的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处理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结果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仍存异议的，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可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以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向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市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人力资源社会保障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局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提出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复核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3.信用修复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申请人信用修复的条件、渠道、方式、期限和程序，应按照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相关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（七）办理渠道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1.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线上申请网址：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参见首都之窗。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窗口办理地址：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CESI仿宋-GB13000" w:hAnsi="CESI仿宋-GB13000" w:eastAsia="CESI仿宋-GB13000" w:cs="CESI仿宋-GB13000"/>
          <w:sz w:val="32"/>
          <w:szCs w:val="32"/>
          <w:u w:val="single"/>
          <w:lang w:val="en" w:eastAsia="zh-CN"/>
        </w:rPr>
        <w:t>xx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" w:eastAsia="zh-CN"/>
        </w:rPr>
        <w:t>区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XX路XX 号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申请人现自愿作出下列承诺：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（一）所填写的基本信息、提交的申请材料真实、合法、有效、完整；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（二）已经知晓政府部门告知的全部内容；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（三）已达到相应的条件、标准和技术要求，具体是：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  <w:t>1.是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法人企业，在《营业执照》的经营范围有“职业中介活动”项目；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已建立职业中介活动管理制度（包括服务流程、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招聘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信息发布审查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、</w:t>
      </w:r>
      <w:r>
        <w:rPr>
          <w:rFonts w:hint="eastAsia" w:ascii="CESI仿宋-GB13000" w:hAnsi="CESI仿宋-GB13000" w:eastAsia="CESI仿宋-GB13000" w:cs="CESI仿宋-GB13000"/>
          <w:b w:val="0"/>
          <w:bCs w:val="0"/>
          <w:kern w:val="0"/>
          <w:sz w:val="32"/>
          <w:szCs w:val="32"/>
          <w:lang w:val="en-US" w:eastAsia="zh-CN"/>
        </w:rPr>
        <w:t>招聘信息发布举报投诉处理制度；求职者个人信息保护制度、风险提示、服务台账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3.有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开展职业中介活动所需固定场所、办公设施和一定数额开办资金；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有不少于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名具备相应职业资质符合</w:t>
      </w:r>
      <w:r>
        <w:rPr>
          <w:rFonts w:ascii="仿宋_GB2312" w:hAnsi="仿宋" w:eastAsia="仿宋_GB2312" w:cs="仿宋_GB2312"/>
          <w:sz w:val="32"/>
          <w:szCs w:val="32"/>
          <w:u w:val="none"/>
        </w:rPr>
        <w:t>规定的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专职工作人员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CESI仿宋-GB13000" w:hAnsi="CESI仿宋-GB13000" w:eastAsia="CESI仿宋-GB13000" w:cs="CESI仿宋-GB1300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并与其签订劳动合同缴纳社会保险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5.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  <w:t>通过互联网开展职业中介活动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eastAsia="zh-CN"/>
        </w:rPr>
        <w:t>业务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  <w:t>，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eastAsia="zh-CN"/>
        </w:rPr>
        <w:t>已经取得</w:t>
      </w:r>
      <w:r>
        <w:rPr>
          <w:rFonts w:hint="eastAsia" w:ascii="CESI仿宋-GB13000" w:hAnsi="CESI仿宋-GB13000" w:eastAsia="CESI仿宋-GB13000" w:cs="CESI仿宋-GB13000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电信业务经营许可资质，已经建立</w:t>
      </w:r>
      <w:r>
        <w:rPr>
          <w:rFonts w:hint="eastAsia" w:ascii="CESI仿宋-GB13000" w:hAnsi="CESI仿宋-GB13000" w:eastAsia="CESI仿宋-GB13000" w:cs="CESI仿宋-GB13000"/>
          <w:b w:val="0"/>
          <w:bCs w:val="0"/>
          <w:kern w:val="0"/>
          <w:sz w:val="32"/>
          <w:szCs w:val="32"/>
          <w:u w:val="none"/>
          <w:lang w:val="en-US" w:eastAsia="zh-CN"/>
        </w:rPr>
        <w:t>求职者个人信息安全监测预警制度，有网络安全保护技术措施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6.当经营场所地址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eastAsia="zh-CN"/>
        </w:rPr>
        <w:t>与注册地址不符时，已经按照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《北京市优化营商环境条例》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第十二条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五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款之规定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</w:rPr>
        <w:t>公示实际经营场所地址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（四）愿意承担未履行承诺、虚假承诺的法律责任，以及政府部门告知的各项惩戒措施；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（五）愿意承诺如在履诺检查前迁往他区时，及时通知迁出区的区人力资源保障部门，告知迁往何地以及联系方式。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六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）所作承诺是申请人真实意思的表示。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七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）网上申请材料提交方式声明：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 □ 已经提交具有电子印章的电子文档；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2.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sym w:font="Wingdings 2" w:char="0052"/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承诺在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>20XX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>XX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>XX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日前送交书面材料。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（以下内容为二选一）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sym w:font="Wingdings 2" w:char="0052"/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1.法定代表人作出承诺的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法定代表人签名/签章：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日期：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年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月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日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□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2.由委托代理人代替法定代表人作出承诺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委托代理人签名：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日期：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日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244475</wp:posOffset>
                </wp:positionV>
                <wp:extent cx="502602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60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19.25pt;height:0.05pt;width:395.75pt;z-index:251659264;mso-width-relative:page;mso-height-relative:page;" filled="f" stroked="t" coordsize="21600,21600" o:gfxdata="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Po6eD1QAAAAcBAAAPAAAAAAAAAAEAIAAAADgAAABkcnMvZG93bnJldi54bWxQSwECFAAU&#10;AAAACACHTuJAcAmyGN4BAACcAwAADgAAAAAAAAABACAAAAA6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政府部门（章）：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日期：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center"/>
        <w:textAlignment w:val="auto"/>
        <w:rPr>
          <w:rFonts w:hint="eastAsia" w:ascii="CESI仿宋-GB13000" w:hAnsi="CESI仿宋-GB13000" w:eastAsia="CESI仿宋-GB13000" w:cs="CESI仿宋-GB13000"/>
          <w:sz w:val="28"/>
          <w:szCs w:val="28"/>
        </w:rPr>
      </w:pPr>
      <w:r>
        <w:rPr>
          <w:rFonts w:hint="eastAsia" w:ascii="CESI仿宋-GB13000" w:hAnsi="CESI仿宋-GB13000" w:eastAsia="CESI仿宋-GB13000" w:cs="CESI仿宋-GB13000"/>
          <w:sz w:val="28"/>
          <w:szCs w:val="28"/>
        </w:rPr>
        <w:t>（本文书一式两份，政府部门与申请人各执一份。）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5871761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58717612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A337B"/>
    <w:multiLevelType w:val="multilevel"/>
    <w:tmpl w:val="196A337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ADF0"/>
    <w:rsid w:val="1DD3ADF0"/>
    <w:rsid w:val="4EE9D9D4"/>
    <w:rsid w:val="67B783B9"/>
    <w:rsid w:val="6FF69059"/>
    <w:rsid w:val="775F36DD"/>
    <w:rsid w:val="7EFB2871"/>
    <w:rsid w:val="7F17CF02"/>
    <w:rsid w:val="7FFBB4C8"/>
    <w:rsid w:val="B6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2023-12-20T14:08:00Z</dcterms:created>
  <dc:creator>uos</dc:creator>
  <cp:lastModifiedBy>rsj</cp:lastModifiedBy>
  <cp:lastPrinted>2023-12-30T01:27:00Z</cp:lastPrinted>
  <dcterms:modified xsi:type="dcterms:W3CDTF">2024-01-15T17:19:53Z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