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经街道服务窗口工作人员初审合格后，申请信息报送至区级社会化管理机构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AE36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jun</dc:creator>
  <cp:lastModifiedBy>liu</cp:lastModifiedBy>
  <dcterms:modified xsi:type="dcterms:W3CDTF">2020-09-03T06:23:11Z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