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bookmarkStart w:id="0" w:name="_GoBack"/>
      <w:r>
        <w:rPr>
          <w:rFonts w:hint="eastAsia"/>
          <w:sz w:val="44"/>
          <w:szCs w:val="44"/>
          <w:lang w:eastAsia="zh-CN"/>
        </w:rPr>
        <w:t>公章刻制</w:t>
      </w:r>
      <w:r>
        <w:rPr>
          <w:rFonts w:hint="eastAsia"/>
          <w:sz w:val="44"/>
          <w:szCs w:val="44"/>
        </w:rPr>
        <w:t>备</w:t>
      </w:r>
      <w:r>
        <w:rPr>
          <w:rFonts w:hint="eastAsia"/>
          <w:sz w:val="44"/>
          <w:szCs w:val="44"/>
          <w:lang w:eastAsia="zh-CN"/>
        </w:rPr>
        <w:t>案</w:t>
      </w:r>
      <w:bookmarkEnd w:id="0"/>
    </w:p>
    <w:p>
      <w:pPr>
        <w:rPr>
          <w:rFonts w:hint="eastAsia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公章刻制备案不再由用章单位办理。企业登记办理营业执照时，由市场监管部门一并采集印章刻制相关信息、推送至共享平台；印章刻制单位在印章制作完成后按照规定将印模信息、用章单位信息等报送公安机关备案，用章单位无需到公安机关办理公章刻制备案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D772D8"/>
    <w:rsid w:val="6372621A"/>
    <w:rsid w:val="7273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HGC</dc:creator>
  <cp:lastModifiedBy>HGC</cp:lastModifiedBy>
  <dcterms:modified xsi:type="dcterms:W3CDTF">2020-08-25T03:06:21Z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