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404040"/>
          <w:spacing w:val="8"/>
          <w:sz w:val="44"/>
          <w:szCs w:val="44"/>
          <w:shd w:val="clear" w:fill="FFFFFF"/>
        </w:rPr>
        <w:t>申请京A号牌摩托车注册登记的，机动车所有人应提交同车辆类型的京A号牌摩托车注销或者转出本市的证明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404040"/>
          <w:spacing w:val="8"/>
          <w:sz w:val="44"/>
          <w:szCs w:val="44"/>
          <w:shd w:val="clear" w:fill="FFFFFF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8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2023-08-14T07:28:46Z</dcterms:created>
  <dc:creator>chgs-jiaguan02</dc:creator>
  <cp:lastModifiedBy>chgs-jiaguan02</cp:lastModifiedBy>
  <dcterms:modified xsi:type="dcterms:W3CDTF">2023-08-14T07:29:30Z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