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户口本首页及本人页：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1.姓名、身份证号等信息与提交的学历证明等信息一致；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2.需提交居民户口簿原件1份，电子版；</w:t>
      </w:r>
    </w:p>
    <w:p>
      <w:r>
        <w:rPr>
          <w:rFonts w:hint="eastAsia"/>
          <w:sz w:val="28"/>
          <w:szCs w:val="28"/>
          <w:lang w:val="en-US" w:eastAsia="zh-CN"/>
        </w:rPr>
        <w:t>3.该材料由公安机关核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发。</w:t>
      </w:r>
      <w:r>
        <w:br w:type="page"/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571500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mYxNGI0MWNhYmQ3OWJiZWQ3NjA3OWMwYjMxNGMifQ=="/>
  </w:docVars>
  <w:rsids>
    <w:rsidRoot w:val="00000000"/>
    <w:rsid w:val="103D7FFC"/>
    <w:rsid w:val="57DA7B32"/>
    <w:rsid w:val="5FA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2022-09-06T02:23:00Z</dcterms:created>
  <dc:creator>wangsong</dc:creator>
  <cp:lastModifiedBy>南拥夏栀</cp:lastModifiedBy>
  <dcterms:modified xsi:type="dcterms:W3CDTF">2022-12-01T02:12:05Z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E90EB896251A421E86094BC185AFA789</vt:lpwstr>
  </property>
</Properties>
</file>