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香港特别行政区回港证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样例信息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1、核对信息是否真实有效；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2、核对证件是否在有效期内；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3、核对原件是否与复印件一致；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4、需确认材料是否按照办事指南中所列格式递交。</w:t>
      </w: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59380" cy="3676015"/>
            <wp:effectExtent l="0" t="0" r="7620" b="635"/>
            <wp:docPr id="2" name="图片 2" descr="回港证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回港证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4125" cy="3681095"/>
            <wp:effectExtent l="0" t="0" r="9525" b="14605"/>
            <wp:docPr id="1" name="图片 1" descr="回港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回港证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3280186B"/>
    <w:rsid w:val="5923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2023-09-22T07:53:00Z</dcterms:created>
  <dc:creator>CRJ</dc:creator>
  <cp:lastModifiedBy>糯米小团子</cp:lastModifiedBy>
  <dcterms:modified xsi:type="dcterms:W3CDTF">2023-09-26T03:17:44Z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7111CE483BE74E8C965AA060D2457E64_12</vt:lpwstr>
  </property>
</Properties>
</file>