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E4EBC" w:rsidRDefault="00725CCA">
      <w:pPr>
        <w:tabs>
          <w:tab w:val="left" w:pos="4500"/>
        </w:tabs>
        <w:autoSpaceDE w:val="0"/>
        <w:autoSpaceDN w:val="0"/>
        <w:spacing w:line="560" w:lineRule="exact"/>
        <w:jc w:val="left"/>
        <w:rPr>
          <w:rFonts w:ascii="仿宋_GB2312" w:eastAsia="仿宋_GB2312"/>
          <w:sz w:val="32"/>
          <w:szCs w:val="32"/>
        </w:rPr>
      </w:pPr>
      <w:r>
        <w:rPr>
          <w:rFonts w:ascii="仿宋_GB2312" w:eastAsia="仿宋_GB2312" w:hint="eastAsia"/>
          <w:sz w:val="32"/>
          <w:szCs w:val="32"/>
        </w:rPr>
        <w:t>附件：</w:t>
      </w:r>
    </w:p>
    <w:p w:rsidR="006E4EBC" w:rsidRDefault="00725CCA">
      <w:pPr>
        <w:tabs>
          <w:tab w:val="left" w:pos="4500"/>
        </w:tabs>
        <w:autoSpaceDE w:val="0"/>
        <w:autoSpaceDN w:val="0"/>
        <w:spacing w:line="560" w:lineRule="exact"/>
        <w:jc w:val="center"/>
        <w:rPr>
          <w:rFonts w:ascii="黑体" w:eastAsia="黑体" w:hAnsi="黑体"/>
          <w:sz w:val="36"/>
          <w:szCs w:val="36"/>
        </w:rPr>
      </w:pPr>
      <w:r>
        <w:rPr>
          <w:rFonts w:ascii="黑体" w:eastAsia="黑体" w:hAnsi="黑体" w:hint="eastAsia"/>
          <w:sz w:val="36"/>
          <w:szCs w:val="36"/>
        </w:rPr>
        <w:t>企业上一会计年度技术先进型服务业务收入及离岸服务外包业务收入明细表</w:t>
      </w:r>
      <w:r w:rsidR="007C3020" w:rsidRPr="007C3020">
        <w:rPr>
          <w:rFonts w:ascii="黑体" w:eastAsia="黑体" w:hAnsi="黑体" w:hint="eastAsia"/>
          <w:sz w:val="36"/>
          <w:szCs w:val="36"/>
        </w:rPr>
        <w:t>（空表）</w:t>
      </w:r>
    </w:p>
    <w:p w:rsidR="006E4EBC" w:rsidRDefault="006E4EBC">
      <w:pPr>
        <w:spacing w:line="560" w:lineRule="exact"/>
        <w:jc w:val="center"/>
        <w:rPr>
          <w:rFonts w:ascii="Calibri" w:hAnsi="Calibri"/>
          <w:sz w:val="20"/>
        </w:rPr>
      </w:pPr>
      <w:bookmarkStart w:id="0" w:name="_GoBack"/>
      <w:bookmarkEnd w:id="0"/>
    </w:p>
    <w:tbl>
      <w:tblPr>
        <w:tblW w:w="1459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3"/>
        <w:gridCol w:w="1276"/>
        <w:gridCol w:w="1276"/>
        <w:gridCol w:w="1417"/>
        <w:gridCol w:w="3260"/>
        <w:gridCol w:w="3119"/>
        <w:gridCol w:w="3544"/>
      </w:tblGrid>
      <w:tr w:rsidR="006E4EBC">
        <w:tc>
          <w:tcPr>
            <w:tcW w:w="704" w:type="dxa"/>
            <w:tcBorders>
              <w:top w:val="single" w:sz="4" w:space="0" w:color="auto"/>
              <w:left w:val="single" w:sz="4" w:space="0" w:color="auto"/>
              <w:bottom w:val="single" w:sz="4" w:space="0" w:color="auto"/>
              <w:right w:val="single" w:sz="4" w:space="0" w:color="auto"/>
            </w:tcBorders>
            <w:hideMark/>
          </w:tcPr>
          <w:p w:rsidR="006E4EBC" w:rsidRDefault="00725CCA">
            <w:pPr>
              <w:spacing w:line="560" w:lineRule="exact"/>
              <w:jc w:val="center"/>
              <w:rPr>
                <w:rFonts w:ascii="仿宋_GB2312" w:eastAsia="仿宋_GB2312"/>
                <w:b/>
                <w:sz w:val="24"/>
                <w:szCs w:val="24"/>
              </w:rPr>
            </w:pPr>
            <w:r>
              <w:rPr>
                <w:rFonts w:ascii="仿宋_GB2312" w:eastAsia="仿宋_GB2312" w:hint="eastAsia"/>
                <w:b/>
                <w:sz w:val="24"/>
                <w:szCs w:val="24"/>
              </w:rPr>
              <w:t>序号</w:t>
            </w:r>
          </w:p>
        </w:tc>
        <w:tc>
          <w:tcPr>
            <w:tcW w:w="1276" w:type="dxa"/>
            <w:tcBorders>
              <w:top w:val="single" w:sz="4" w:space="0" w:color="auto"/>
              <w:left w:val="single" w:sz="4" w:space="0" w:color="auto"/>
              <w:bottom w:val="single" w:sz="4" w:space="0" w:color="auto"/>
              <w:right w:val="single" w:sz="4" w:space="0" w:color="auto"/>
            </w:tcBorders>
            <w:hideMark/>
          </w:tcPr>
          <w:p w:rsidR="006E4EBC" w:rsidRDefault="00725CCA">
            <w:pPr>
              <w:spacing w:line="560" w:lineRule="exact"/>
              <w:jc w:val="center"/>
              <w:rPr>
                <w:rFonts w:ascii="仿宋_GB2312" w:eastAsia="仿宋_GB2312"/>
                <w:b/>
                <w:sz w:val="24"/>
                <w:szCs w:val="24"/>
              </w:rPr>
            </w:pPr>
            <w:r>
              <w:rPr>
                <w:rFonts w:ascii="仿宋_GB2312" w:eastAsia="仿宋_GB2312" w:hint="eastAsia"/>
                <w:b/>
                <w:sz w:val="24"/>
                <w:szCs w:val="24"/>
              </w:rPr>
              <w:t>合同名称</w:t>
            </w:r>
          </w:p>
        </w:tc>
        <w:tc>
          <w:tcPr>
            <w:tcW w:w="1276" w:type="dxa"/>
            <w:tcBorders>
              <w:top w:val="single" w:sz="4" w:space="0" w:color="auto"/>
              <w:left w:val="single" w:sz="4" w:space="0" w:color="auto"/>
              <w:bottom w:val="single" w:sz="4" w:space="0" w:color="auto"/>
              <w:right w:val="single" w:sz="4" w:space="0" w:color="auto"/>
            </w:tcBorders>
            <w:hideMark/>
          </w:tcPr>
          <w:p w:rsidR="006E4EBC" w:rsidRDefault="00725CCA">
            <w:pPr>
              <w:spacing w:line="560" w:lineRule="exact"/>
              <w:jc w:val="center"/>
              <w:rPr>
                <w:rFonts w:ascii="仿宋_GB2312" w:eastAsia="仿宋_GB2312"/>
                <w:b/>
                <w:sz w:val="24"/>
                <w:szCs w:val="24"/>
              </w:rPr>
            </w:pPr>
            <w:r>
              <w:rPr>
                <w:rFonts w:ascii="仿宋_GB2312" w:eastAsia="仿宋_GB2312" w:hint="eastAsia"/>
                <w:b/>
                <w:sz w:val="24"/>
                <w:szCs w:val="24"/>
              </w:rPr>
              <w:t>业务类别</w:t>
            </w:r>
          </w:p>
        </w:tc>
        <w:tc>
          <w:tcPr>
            <w:tcW w:w="1417" w:type="dxa"/>
            <w:tcBorders>
              <w:top w:val="single" w:sz="4" w:space="0" w:color="auto"/>
              <w:left w:val="single" w:sz="4" w:space="0" w:color="auto"/>
              <w:bottom w:val="single" w:sz="4" w:space="0" w:color="auto"/>
              <w:right w:val="single" w:sz="4" w:space="0" w:color="auto"/>
            </w:tcBorders>
            <w:hideMark/>
          </w:tcPr>
          <w:p w:rsidR="006E4EBC" w:rsidRDefault="00725CCA">
            <w:pPr>
              <w:spacing w:line="560" w:lineRule="exact"/>
              <w:jc w:val="center"/>
              <w:rPr>
                <w:rFonts w:ascii="仿宋_GB2312" w:eastAsia="仿宋_GB2312"/>
                <w:b/>
                <w:sz w:val="24"/>
                <w:szCs w:val="24"/>
              </w:rPr>
            </w:pPr>
            <w:r>
              <w:rPr>
                <w:rFonts w:ascii="仿宋_GB2312" w:eastAsia="仿宋_GB2312" w:hint="eastAsia"/>
                <w:b/>
                <w:sz w:val="24"/>
                <w:szCs w:val="24"/>
              </w:rPr>
              <w:t>业务来源</w:t>
            </w:r>
          </w:p>
        </w:tc>
        <w:tc>
          <w:tcPr>
            <w:tcW w:w="3260" w:type="dxa"/>
            <w:tcBorders>
              <w:top w:val="single" w:sz="4" w:space="0" w:color="auto"/>
              <w:left w:val="single" w:sz="4" w:space="0" w:color="auto"/>
              <w:bottom w:val="single" w:sz="4" w:space="0" w:color="auto"/>
              <w:right w:val="single" w:sz="4" w:space="0" w:color="auto"/>
            </w:tcBorders>
            <w:hideMark/>
          </w:tcPr>
          <w:p w:rsidR="006E4EBC" w:rsidRDefault="00725CCA">
            <w:pPr>
              <w:spacing w:line="560" w:lineRule="exact"/>
              <w:jc w:val="center"/>
              <w:rPr>
                <w:rFonts w:ascii="仿宋_GB2312" w:eastAsia="仿宋_GB2312"/>
                <w:b/>
                <w:sz w:val="24"/>
                <w:szCs w:val="24"/>
              </w:rPr>
            </w:pPr>
            <w:r>
              <w:rPr>
                <w:rFonts w:ascii="仿宋_GB2312" w:eastAsia="仿宋_GB2312" w:hint="eastAsia"/>
                <w:b/>
                <w:sz w:val="24"/>
                <w:szCs w:val="24"/>
              </w:rPr>
              <w:t>实际取得的服务收入（万元）</w:t>
            </w:r>
          </w:p>
        </w:tc>
        <w:tc>
          <w:tcPr>
            <w:tcW w:w="3119" w:type="dxa"/>
            <w:tcBorders>
              <w:top w:val="single" w:sz="4" w:space="0" w:color="auto"/>
              <w:left w:val="single" w:sz="4" w:space="0" w:color="auto"/>
              <w:bottom w:val="single" w:sz="4" w:space="0" w:color="auto"/>
              <w:right w:val="single" w:sz="4" w:space="0" w:color="auto"/>
            </w:tcBorders>
            <w:hideMark/>
          </w:tcPr>
          <w:p w:rsidR="006E4EBC" w:rsidRDefault="00725CCA">
            <w:pPr>
              <w:spacing w:line="560" w:lineRule="exact"/>
              <w:jc w:val="center"/>
              <w:rPr>
                <w:rFonts w:ascii="仿宋_GB2312" w:eastAsia="仿宋_GB2312"/>
                <w:b/>
                <w:sz w:val="24"/>
                <w:szCs w:val="24"/>
              </w:rPr>
            </w:pPr>
            <w:r>
              <w:rPr>
                <w:rFonts w:ascii="仿宋_GB2312" w:eastAsia="仿宋_GB2312" w:hint="eastAsia"/>
                <w:b/>
                <w:sz w:val="24"/>
                <w:szCs w:val="24"/>
              </w:rPr>
              <w:t>经登记的合同执行额（万元）</w:t>
            </w:r>
          </w:p>
        </w:tc>
        <w:tc>
          <w:tcPr>
            <w:tcW w:w="3544" w:type="dxa"/>
            <w:tcBorders>
              <w:top w:val="single" w:sz="4" w:space="0" w:color="auto"/>
              <w:left w:val="single" w:sz="4" w:space="0" w:color="auto"/>
              <w:bottom w:val="single" w:sz="4" w:space="0" w:color="auto"/>
              <w:right w:val="single" w:sz="4" w:space="0" w:color="auto"/>
            </w:tcBorders>
            <w:hideMark/>
          </w:tcPr>
          <w:p w:rsidR="006E4EBC" w:rsidRDefault="00725CCA">
            <w:pPr>
              <w:spacing w:line="560" w:lineRule="exact"/>
              <w:jc w:val="center"/>
              <w:rPr>
                <w:rFonts w:ascii="仿宋_GB2312" w:eastAsia="仿宋_GB2312"/>
                <w:b/>
                <w:sz w:val="24"/>
                <w:szCs w:val="24"/>
              </w:rPr>
            </w:pPr>
            <w:r>
              <w:rPr>
                <w:rFonts w:ascii="仿宋_GB2312" w:eastAsia="仿宋_GB2312" w:hint="eastAsia"/>
                <w:b/>
                <w:sz w:val="24"/>
                <w:szCs w:val="24"/>
              </w:rPr>
              <w:t>经核定的技术性收入（万元）</w:t>
            </w:r>
          </w:p>
        </w:tc>
      </w:tr>
      <w:tr w:rsidR="006E4EBC">
        <w:tc>
          <w:tcPr>
            <w:tcW w:w="70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r>
      <w:tr w:rsidR="006E4EBC">
        <w:tc>
          <w:tcPr>
            <w:tcW w:w="70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r>
      <w:tr w:rsidR="006E4EBC">
        <w:tc>
          <w:tcPr>
            <w:tcW w:w="70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r>
      <w:tr w:rsidR="006E4EBC">
        <w:tc>
          <w:tcPr>
            <w:tcW w:w="70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r>
      <w:tr w:rsidR="006E4EBC">
        <w:tc>
          <w:tcPr>
            <w:tcW w:w="70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r>
      <w:tr w:rsidR="006E4EBC">
        <w:tc>
          <w:tcPr>
            <w:tcW w:w="70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r>
      <w:tr w:rsidR="006E4EBC">
        <w:tc>
          <w:tcPr>
            <w:tcW w:w="70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276"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1417"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260"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119"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c>
          <w:tcPr>
            <w:tcW w:w="3544" w:type="dxa"/>
            <w:tcBorders>
              <w:top w:val="single" w:sz="4" w:space="0" w:color="auto"/>
              <w:left w:val="single" w:sz="4" w:space="0" w:color="auto"/>
              <w:bottom w:val="single" w:sz="4" w:space="0" w:color="auto"/>
              <w:right w:val="single" w:sz="4" w:space="0" w:color="auto"/>
            </w:tcBorders>
          </w:tcPr>
          <w:p w:rsidR="006E4EBC" w:rsidRDefault="006E4EBC">
            <w:pPr>
              <w:spacing w:line="560" w:lineRule="exact"/>
              <w:jc w:val="center"/>
              <w:rPr>
                <w:rFonts w:ascii="仿宋_GB2312" w:eastAsia="仿宋_GB2312"/>
                <w:sz w:val="24"/>
                <w:szCs w:val="24"/>
              </w:rPr>
            </w:pPr>
          </w:p>
        </w:tc>
      </w:tr>
    </w:tbl>
    <w:p w:rsidR="006E4EBC" w:rsidRDefault="00725CCA">
      <w:pPr>
        <w:spacing w:line="560" w:lineRule="exact"/>
        <w:rPr>
          <w:rFonts w:ascii="仿宋_GB2312" w:eastAsia="仿宋_GB2312" w:hAnsi="Calibri" w:cs="Times New Roman"/>
          <w:sz w:val="28"/>
          <w:szCs w:val="32"/>
        </w:rPr>
      </w:pPr>
      <w:r>
        <w:rPr>
          <w:rFonts w:ascii="仿宋_GB2312" w:eastAsia="仿宋_GB2312" w:hint="eastAsia"/>
          <w:sz w:val="28"/>
          <w:szCs w:val="32"/>
        </w:rPr>
        <w:t>说明：</w:t>
      </w:r>
    </w:p>
    <w:p w:rsidR="006E4EBC" w:rsidRDefault="00725CCA">
      <w:pPr>
        <w:spacing w:line="560" w:lineRule="exact"/>
        <w:ind w:firstLineChars="200" w:firstLine="560"/>
        <w:rPr>
          <w:rFonts w:ascii="仿宋_GB2312" w:eastAsia="仿宋_GB2312"/>
          <w:sz w:val="28"/>
          <w:szCs w:val="32"/>
        </w:rPr>
      </w:pPr>
      <w:r>
        <w:rPr>
          <w:rFonts w:ascii="仿宋_GB2312" w:eastAsia="仿宋_GB2312" w:hint="eastAsia"/>
          <w:sz w:val="28"/>
          <w:szCs w:val="32"/>
        </w:rPr>
        <w:t>1.业务类别是指服务项目所属《北京市技术先进型服务企业认定管理办法（</w:t>
      </w:r>
      <w:r>
        <w:rPr>
          <w:rFonts w:ascii="仿宋_GB2312" w:eastAsia="仿宋_GB2312"/>
          <w:sz w:val="28"/>
          <w:szCs w:val="32"/>
        </w:rPr>
        <w:t>2019年修订）》（京科发〔2019〕6</w:t>
      </w:r>
      <w:r>
        <w:rPr>
          <w:rFonts w:ascii="仿宋_GB2312" w:eastAsia="仿宋_GB2312"/>
          <w:sz w:val="28"/>
          <w:szCs w:val="32"/>
        </w:rPr>
        <w:lastRenderedPageBreak/>
        <w:t>号）</w:t>
      </w:r>
      <w:r>
        <w:rPr>
          <w:rFonts w:ascii="仿宋_GB2312" w:eastAsia="仿宋_GB2312" w:hint="eastAsia"/>
          <w:sz w:val="28"/>
          <w:szCs w:val="32"/>
        </w:rPr>
        <w:t>中《技术先进型服务业务认定范围（试行）》的类别，分为信息技术外包服务（ITO）、技术性业务流程外包服务（BPO）、技术性知识流程外包服务（KPO）和服务贸易类服务。</w:t>
      </w:r>
    </w:p>
    <w:p w:rsidR="006E4EBC" w:rsidRDefault="00725CCA">
      <w:pPr>
        <w:spacing w:line="560" w:lineRule="exact"/>
        <w:ind w:firstLineChars="200" w:firstLine="560"/>
        <w:rPr>
          <w:rFonts w:ascii="仿宋_GB2312" w:eastAsia="仿宋_GB2312"/>
          <w:sz w:val="28"/>
          <w:szCs w:val="32"/>
        </w:rPr>
      </w:pPr>
      <w:r>
        <w:rPr>
          <w:rFonts w:ascii="仿宋_GB2312" w:eastAsia="仿宋_GB2312" w:hint="eastAsia"/>
          <w:sz w:val="28"/>
          <w:szCs w:val="32"/>
        </w:rPr>
        <w:t>2.业务来源分为离岸和在岸。</w:t>
      </w:r>
    </w:p>
    <w:p w:rsidR="006E4EBC" w:rsidRDefault="00725CCA">
      <w:pPr>
        <w:spacing w:line="560" w:lineRule="exact"/>
        <w:ind w:firstLineChars="200" w:firstLine="560"/>
        <w:rPr>
          <w:rFonts w:ascii="仿宋_GB2312" w:eastAsia="仿宋_GB2312"/>
          <w:sz w:val="28"/>
          <w:szCs w:val="32"/>
        </w:rPr>
      </w:pPr>
      <w:r>
        <w:rPr>
          <w:rFonts w:ascii="仿宋_GB2312" w:eastAsia="仿宋_GB2312" w:hint="eastAsia"/>
          <w:sz w:val="28"/>
          <w:szCs w:val="32"/>
        </w:rPr>
        <w:t>3.实际取得的服务收入以人民币计算，其中离岸服务外包业务收入应按银行结汇日汇率折算为人民币。</w:t>
      </w:r>
    </w:p>
    <w:p w:rsidR="006E4EBC" w:rsidRDefault="00725CCA">
      <w:pPr>
        <w:spacing w:line="560" w:lineRule="exact"/>
        <w:ind w:firstLineChars="200" w:firstLine="560"/>
        <w:rPr>
          <w:rFonts w:ascii="仿宋_GB2312" w:eastAsia="仿宋_GB2312"/>
          <w:sz w:val="28"/>
          <w:szCs w:val="32"/>
        </w:rPr>
      </w:pPr>
      <w:r>
        <w:rPr>
          <w:rFonts w:ascii="仿宋_GB2312" w:eastAsia="仿宋_GB2312" w:hint="eastAsia"/>
          <w:sz w:val="28"/>
          <w:szCs w:val="32"/>
        </w:rPr>
        <w:t>4.经登记的合同执行额是指企业上一会计年度离岸服务外包业务合同在市商务局登记的执行额，以人民币计算。企业未登记的，按</w:t>
      </w:r>
      <w:r>
        <w:rPr>
          <w:rFonts w:ascii="仿宋_GB2312" w:eastAsia="仿宋_GB2312"/>
          <w:sz w:val="28"/>
          <w:szCs w:val="32"/>
        </w:rPr>
        <w:t>“</w:t>
      </w:r>
      <w:r>
        <w:rPr>
          <w:rFonts w:ascii="仿宋_GB2312" w:eastAsia="仿宋_GB2312" w:hint="eastAsia"/>
          <w:sz w:val="28"/>
          <w:szCs w:val="32"/>
        </w:rPr>
        <w:t>未登记</w:t>
      </w:r>
      <w:r>
        <w:rPr>
          <w:rFonts w:ascii="仿宋_GB2312" w:eastAsia="仿宋_GB2312"/>
          <w:sz w:val="28"/>
          <w:szCs w:val="32"/>
        </w:rPr>
        <w:t>”</w:t>
      </w:r>
      <w:r>
        <w:rPr>
          <w:rFonts w:ascii="仿宋_GB2312" w:eastAsia="仿宋_GB2312" w:hint="eastAsia"/>
          <w:sz w:val="28"/>
          <w:szCs w:val="32"/>
        </w:rPr>
        <w:t>填写。</w:t>
      </w:r>
    </w:p>
    <w:p w:rsidR="006E4EBC" w:rsidRDefault="00725CCA">
      <w:pPr>
        <w:spacing w:line="560" w:lineRule="exact"/>
        <w:ind w:firstLineChars="200" w:firstLine="560"/>
        <w:rPr>
          <w:rFonts w:ascii="仿宋" w:eastAsia="仿宋" w:hAnsi="仿宋"/>
          <w:sz w:val="32"/>
          <w:szCs w:val="32"/>
        </w:rPr>
      </w:pPr>
      <w:r>
        <w:rPr>
          <w:rFonts w:ascii="仿宋_GB2312" w:eastAsia="仿宋_GB2312" w:hint="eastAsia"/>
          <w:kern w:val="0"/>
          <w:sz w:val="28"/>
          <w:szCs w:val="32"/>
        </w:rPr>
        <w:t>5.经核定的技术性收入是指企业技术先进型服务业务合同在市科委技术市场管理部门进行技术合同认定登记并核定的技术性收入，以人民币计算。企业未登记的，按</w:t>
      </w:r>
      <w:r>
        <w:rPr>
          <w:rFonts w:ascii="仿宋_GB2312" w:eastAsia="仿宋_GB2312"/>
          <w:kern w:val="0"/>
          <w:sz w:val="28"/>
          <w:szCs w:val="32"/>
        </w:rPr>
        <w:t>“</w:t>
      </w:r>
      <w:r>
        <w:rPr>
          <w:rFonts w:ascii="仿宋_GB2312" w:eastAsia="仿宋_GB2312" w:hint="eastAsia"/>
          <w:kern w:val="0"/>
          <w:sz w:val="28"/>
          <w:szCs w:val="32"/>
        </w:rPr>
        <w:t>未登记</w:t>
      </w:r>
      <w:r>
        <w:rPr>
          <w:rFonts w:ascii="仿宋_GB2312" w:eastAsia="仿宋_GB2312"/>
          <w:kern w:val="0"/>
          <w:sz w:val="28"/>
          <w:szCs w:val="32"/>
        </w:rPr>
        <w:t>”</w:t>
      </w:r>
      <w:r>
        <w:rPr>
          <w:rFonts w:ascii="仿宋_GB2312" w:eastAsia="仿宋_GB2312" w:hint="eastAsia"/>
          <w:kern w:val="0"/>
          <w:sz w:val="28"/>
          <w:szCs w:val="32"/>
        </w:rPr>
        <w:t>填写，已登记但未核定的，按</w:t>
      </w:r>
      <w:r>
        <w:rPr>
          <w:rFonts w:ascii="仿宋_GB2312" w:eastAsia="仿宋_GB2312"/>
          <w:kern w:val="0"/>
          <w:sz w:val="28"/>
          <w:szCs w:val="32"/>
        </w:rPr>
        <w:t>“</w:t>
      </w:r>
      <w:r>
        <w:rPr>
          <w:rFonts w:ascii="仿宋_GB2312" w:eastAsia="仿宋_GB2312" w:hint="eastAsia"/>
          <w:kern w:val="0"/>
          <w:sz w:val="28"/>
          <w:szCs w:val="32"/>
        </w:rPr>
        <w:t>未核定</w:t>
      </w:r>
      <w:r>
        <w:rPr>
          <w:rFonts w:ascii="仿宋_GB2312" w:eastAsia="仿宋_GB2312"/>
          <w:kern w:val="0"/>
          <w:sz w:val="28"/>
          <w:szCs w:val="32"/>
        </w:rPr>
        <w:t>”</w:t>
      </w:r>
      <w:r>
        <w:rPr>
          <w:rFonts w:ascii="仿宋_GB2312" w:eastAsia="仿宋_GB2312" w:hint="eastAsia"/>
          <w:kern w:val="0"/>
          <w:sz w:val="28"/>
          <w:szCs w:val="32"/>
        </w:rPr>
        <w:t>填写。</w:t>
      </w:r>
    </w:p>
    <w:sectPr w:rsidR="006E4EBC">
      <w:pgSz w:w="16838" w:h="11906" w:orient="landscape"/>
      <w:pgMar w:top="1797" w:right="1440" w:bottom="1797" w:left="1440" w:header="851" w:footer="992" w:gutter="0"/>
      <w:cols w:space="425"/>
      <w:docGrid w:type="linesAndChar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B3713" w:rsidRDefault="004B3713" w:rsidP="008B5E77">
      <w:r>
        <w:separator/>
      </w:r>
    </w:p>
  </w:endnote>
  <w:endnote w:type="continuationSeparator" w:id="0">
    <w:p w:rsidR="004B3713" w:rsidRDefault="004B3713" w:rsidP="008B5E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B3713" w:rsidRDefault="004B3713" w:rsidP="008B5E77">
      <w:r>
        <w:separator/>
      </w:r>
    </w:p>
  </w:footnote>
  <w:footnote w:type="continuationSeparator" w:id="0">
    <w:p w:rsidR="004B3713" w:rsidRDefault="004B3713" w:rsidP="008B5E7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revisionView w:inkAnnotations="0"/>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4EBC"/>
    <w:rsid w:val="000E41B3"/>
    <w:rsid w:val="001754D0"/>
    <w:rsid w:val="00303A58"/>
    <w:rsid w:val="003E1DB4"/>
    <w:rsid w:val="004B3713"/>
    <w:rsid w:val="004E2ADD"/>
    <w:rsid w:val="006E4EBC"/>
    <w:rsid w:val="00725CCA"/>
    <w:rsid w:val="007C3020"/>
    <w:rsid w:val="008B5E77"/>
    <w:rsid w:val="008F6DAF"/>
    <w:rsid w:val="00A56D56"/>
    <w:rsid w:val="00B71F8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94ACB4A0-028F-4AA6-954B-FC339D0D9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等线" w:eastAsia="等线" w:hAnsi="等线" w:cs="宋体"/>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pPr>
      <w:widowControl/>
      <w:spacing w:before="100" w:beforeAutospacing="1" w:after="100" w:afterAutospacing="1"/>
      <w:jc w:val="left"/>
    </w:pPr>
    <w:rPr>
      <w:rFonts w:ascii="宋体" w:eastAsia="宋体" w:hAnsi="宋体"/>
      <w:kern w:val="0"/>
      <w:sz w:val="24"/>
      <w:szCs w:val="24"/>
    </w:rPr>
  </w:style>
  <w:style w:type="character" w:styleId="a4">
    <w:name w:val="Hyperlink"/>
    <w:basedOn w:val="a0"/>
    <w:uiPriority w:val="99"/>
    <w:rPr>
      <w:color w:val="0000FF"/>
      <w:u w:val="single"/>
    </w:rPr>
  </w:style>
  <w:style w:type="paragraph" w:styleId="a5">
    <w:name w:val="header"/>
    <w:basedOn w:val="a"/>
    <w:link w:val="a6"/>
    <w:uiPriority w:val="99"/>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Pr>
      <w:sz w:val="18"/>
      <w:szCs w:val="18"/>
    </w:rPr>
  </w:style>
  <w:style w:type="paragraph" w:styleId="a7">
    <w:name w:val="footer"/>
    <w:basedOn w:val="a"/>
    <w:link w:val="a8"/>
    <w:uiPriority w:val="99"/>
    <w:pPr>
      <w:tabs>
        <w:tab w:val="center" w:pos="4153"/>
        <w:tab w:val="right" w:pos="8306"/>
      </w:tabs>
      <w:snapToGrid w:val="0"/>
      <w:jc w:val="left"/>
    </w:pPr>
    <w:rPr>
      <w:sz w:val="18"/>
      <w:szCs w:val="18"/>
    </w:rPr>
  </w:style>
  <w:style w:type="character" w:customStyle="1" w:styleId="a8">
    <w:name w:val="页脚 字符"/>
    <w:basedOn w:val="a0"/>
    <w:link w:val="a7"/>
    <w:uiPriority w:val="9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79</Words>
  <Characters>453</Characters>
  <Application>Microsoft Office Word</Application>
  <DocSecurity>0</DocSecurity>
  <Lines>3</Lines>
  <Paragraphs>1</Paragraphs>
  <ScaleCrop>false</ScaleCrop>
  <Company/>
  <LinksUpToDate>false</LinksUpToDate>
  <CharactersWithSpaces>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hesen zhang</dc:creator>
  <cp:lastModifiedBy>zhang hesen</cp:lastModifiedBy>
  <cp:revision>3</cp:revision>
  <dcterms:created xsi:type="dcterms:W3CDTF">2020-03-02T08:24:00Z</dcterms:created>
  <dcterms:modified xsi:type="dcterms:W3CDTF">2020-09-03T07:08:00Z</dcterms:modified>
</cp:coreProperties>
</file>