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</w:rPr>
        <w:t>对市财政局控办范围内的单位申请载客汽车注册登记的，应当提交控办批准单；对中央国家机关申请小、微型载客汽车注册登记的，应当提交更新证明，属于调拨的车辆还需提交调拨收据</w:t>
      </w:r>
      <w:r>
        <w:rPr>
          <w:rFonts w:hint="eastAsia" w:asciiTheme="minorEastAsia" w:hAnsi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DBA4D5"/>
    <w:rsid w:val="25687917"/>
    <w:rsid w:val="42187FD9"/>
    <w:rsid w:val="DEDBA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2021-12-10T09:24:00Z</dcterms:created>
  <dc:creator>uos</dc:creator>
  <cp:lastModifiedBy>chgs-jiaguan02</cp:lastModifiedBy>
  <dcterms:modified xsi:type="dcterms:W3CDTF">2023-08-14T07:35:51Z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