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A5046">
      <w:pPr>
        <w:spacing w:line="500" w:lineRule="exact"/>
        <w:ind w:firstLine="480" w:firstLineChars="200"/>
        <w:jc w:val="center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生物安全与实验动物应急管理制度</w:t>
      </w:r>
    </w:p>
    <w:p w14:paraId="4B53A98E">
      <w:pPr>
        <w:pStyle w:val="4"/>
        <w:numPr>
          <w:ilvl w:val="0"/>
          <w:numId w:val="1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应制定应急管理政策和程序，包括生物性、化学性、物理性、放射性等紧急情况和火灾、水灾、冰冻、地震、人为破坏等任何意外紧急情况，还应包括使留下的空建筑物处于尽可能安全状态的措施，需要时，应征询相关主管部门的意见和建议。</w:t>
      </w:r>
    </w:p>
    <w:p w14:paraId="35712DFA">
      <w:pPr>
        <w:pStyle w:val="4"/>
        <w:numPr>
          <w:ilvl w:val="0"/>
          <w:numId w:val="1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应以国家法律法规、国家和地方的应急预案和要求为基础制定机构的应急措施，同时考虑机构的特点和资源，应急措施中应包括紧急撤离计划。机构的首要责任是保护人员安全和避免波及公共安全。</w:t>
      </w:r>
    </w:p>
    <w:p w14:paraId="7D628A7C">
      <w:pPr>
        <w:pStyle w:val="4"/>
        <w:numPr>
          <w:ilvl w:val="0"/>
          <w:numId w:val="1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应建立程序和方法，以识别和监测潜在的事件或紧急情况，并作出响应，以预防和减少可能随之引发的疾病、伤害、损失、业务中断等。</w:t>
      </w:r>
    </w:p>
    <w:p w14:paraId="754EF9A8">
      <w:pPr>
        <w:pStyle w:val="4"/>
        <w:numPr>
          <w:ilvl w:val="0"/>
          <w:numId w:val="1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适用时，应急程序应至少包括负责人、组织、应急准备和响应、应急通讯、报告内容，个体防护和应对程序、应急设备和工具包、污染源隔离和消毒灭菌、人员隔离和救治、现场隔离和控制、动物福利和健康、撤离计划和路线、风险沟通等内容。</w:t>
      </w:r>
    </w:p>
    <w:p w14:paraId="2B07EF25">
      <w:pPr>
        <w:pStyle w:val="4"/>
        <w:numPr>
          <w:ilvl w:val="0"/>
          <w:numId w:val="1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应使所有人员（包括来访者）熟悉应急行动计划、撤离路线和紧急撤离的集合地点。</w:t>
      </w:r>
    </w:p>
    <w:p w14:paraId="682A7150">
      <w:pPr>
        <w:pStyle w:val="4"/>
        <w:numPr>
          <w:ilvl w:val="0"/>
          <w:numId w:val="1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定期演练和评估涉及各种风险的应急程序和应急预案，并制定年度计划。每年应组织进行专项演练，如电力系统故障、危险物质泄漏等应急处置演练，并至少组织所有员工进行一次撤离演习。</w:t>
      </w:r>
    </w:p>
    <w:p w14:paraId="43912FEA">
      <w:pPr>
        <w:pStyle w:val="4"/>
        <w:numPr>
          <w:ilvl w:val="0"/>
          <w:numId w:val="1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应有消防相关的政策和程序，并使所有人员理解，以保证人员安全和动物安全。</w:t>
      </w:r>
    </w:p>
    <w:p w14:paraId="7039D6B1">
      <w:pPr>
        <w:pStyle w:val="4"/>
        <w:numPr>
          <w:ilvl w:val="0"/>
          <w:numId w:val="1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应制定年度消防计划，内容至少包括（不限于）:</w:t>
      </w:r>
    </w:p>
    <w:p w14:paraId="7471CE35">
      <w:pPr>
        <w:pStyle w:val="4"/>
        <w:numPr>
          <w:ilvl w:val="0"/>
          <w:numId w:val="2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对员工的消防指导和培训，内容至少包括火险的识别和判断、减少火险的良好操作规程、失火时应采取的全部行动；</w:t>
      </w:r>
    </w:p>
    <w:p w14:paraId="12632208">
      <w:pPr>
        <w:pStyle w:val="4"/>
        <w:numPr>
          <w:ilvl w:val="0"/>
          <w:numId w:val="2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消防设施设备和报警系统状态的检查；</w:t>
      </w:r>
    </w:p>
    <w:p w14:paraId="733F155A">
      <w:pPr>
        <w:pStyle w:val="4"/>
        <w:numPr>
          <w:ilvl w:val="0"/>
          <w:numId w:val="2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消防安全定期检查计划；</w:t>
      </w:r>
    </w:p>
    <w:p w14:paraId="69A8790B">
      <w:pPr>
        <w:pStyle w:val="4"/>
        <w:numPr>
          <w:ilvl w:val="0"/>
          <w:numId w:val="2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消防演习（每年至少一次）。</w:t>
      </w:r>
    </w:p>
    <w:p w14:paraId="7A750410">
      <w:pPr>
        <w:pStyle w:val="4"/>
        <w:numPr>
          <w:ilvl w:val="0"/>
          <w:numId w:val="1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只要适用，应配备控制可燃物少量泄漏的工具包。如果发生明显泄漏，应立即寻求消防部门的援助。</w:t>
      </w:r>
    </w:p>
    <w:p w14:paraId="7DE250E7">
      <w:pPr>
        <w:pStyle w:val="4"/>
        <w:numPr>
          <w:ilvl w:val="0"/>
          <w:numId w:val="1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应配备适当的设备，需要时用于扑灭可控制的火情及帮助人员从火场撤离。</w:t>
      </w:r>
    </w:p>
    <w:p w14:paraId="476A53A9">
      <w:pPr>
        <w:pStyle w:val="4"/>
        <w:numPr>
          <w:ilvl w:val="0"/>
          <w:numId w:val="1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应依据可能失火的类型配置适当的灭火器材并定期维护，应符合消防主管部门的要求。</w:t>
      </w:r>
    </w:p>
    <w:p w14:paraId="0C7EF923">
      <w:pPr>
        <w:pStyle w:val="4"/>
        <w:numPr>
          <w:ilvl w:val="0"/>
          <w:numId w:val="1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如果发生火警，应立即寻求消防部门的援助，并告知机构内存在的危险。</w:t>
      </w:r>
    </w:p>
    <w:p w14:paraId="297A8548">
      <w:pPr>
        <w:pStyle w:val="4"/>
        <w:numPr>
          <w:ilvl w:val="0"/>
          <w:numId w:val="1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机构应及时处理可控的事故，避免事态扩大；对于机构不能控制的事故，应求助并执行紧急撤离计划，此时的一些防护和控制措施，均应以保护人员安全撤离为目的，而非以救灾为目的。</w:t>
      </w:r>
    </w:p>
    <w:p w14:paraId="08E6EF4F">
      <w:pPr>
        <w:pStyle w:val="4"/>
        <w:numPr>
          <w:ilvl w:val="0"/>
          <w:numId w:val="1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应有报告紧急事件、伤害、事故、职业相关疾病以及潜在危险的政策和程序，符合国家和地方对事故报告的规定要求，任何人员不得隐瞒。</w:t>
      </w:r>
    </w:p>
    <w:p w14:paraId="0A4AC51D">
      <w:pPr>
        <w:pStyle w:val="4"/>
        <w:numPr>
          <w:ilvl w:val="0"/>
          <w:numId w:val="1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所有紧急事件、事故报告应形成书面文件并存档（包括所有相关活动的记录和证据等文件）。适用时，报告应包括事实的详细描述、原因分析、影响范围、后果评估、采取的措施、所采取措施有效性的追踪、预防类似事件发生的建议及改进措施等。</w:t>
      </w:r>
    </w:p>
    <w:p w14:paraId="783D6FD5">
      <w:pPr>
        <w:pStyle w:val="4"/>
        <w:numPr>
          <w:ilvl w:val="0"/>
          <w:numId w:val="1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事故报告（包括采取的任何措施）应提交机构管理层、安全委员会和 IACUC 评审，适用时，还应提交更高管理层评审。</w:t>
      </w:r>
    </w:p>
    <w:p w14:paraId="0873EB08">
      <w:pPr>
        <w:pStyle w:val="4"/>
        <w:numPr>
          <w:ilvl w:val="0"/>
          <w:numId w:val="1"/>
        </w:numPr>
        <w:spacing w:line="500" w:lineRule="exact"/>
        <w:ind w:left="0" w:firstLine="48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在发生事件或紧急情况后，应进行后评估。</w:t>
      </w:r>
    </w:p>
    <w:p w14:paraId="7F97875E">
      <w:pPr>
        <w:spacing w:line="500" w:lineRule="exact"/>
        <w:rPr>
          <w:rFonts w:cs="Times New Roman" w:asciiTheme="minorEastAsia" w:hAnsiTheme="minorEastAsia"/>
          <w:sz w:val="24"/>
          <w:szCs w:val="24"/>
        </w:rPr>
      </w:pPr>
    </w:p>
    <w:p w14:paraId="7D9FAE19"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签署：</w:t>
      </w:r>
    </w:p>
    <w:p w14:paraId="6EFE465C">
      <w:pPr>
        <w:spacing w:line="500" w:lineRule="exact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制定者：         日期：</w:t>
      </w:r>
    </w:p>
    <w:p w14:paraId="0E8B6190">
      <w:pPr>
        <w:spacing w:line="500" w:lineRule="exact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审定者：         日期：</w:t>
      </w:r>
    </w:p>
    <w:p w14:paraId="634E303D">
      <w:pPr>
        <w:spacing w:line="500" w:lineRule="exact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批准者：         日期：</w:t>
      </w:r>
    </w:p>
    <w:p w14:paraId="3D46025A">
      <w:pPr>
        <w:spacing w:line="500" w:lineRule="exact"/>
        <w:rPr>
          <w:rFonts w:cs="Times New Roman" w:asciiTheme="minorEastAsia" w:hAnsiTheme="minorEastAsia"/>
          <w:sz w:val="24"/>
          <w:szCs w:val="24"/>
        </w:rPr>
      </w:pPr>
      <w:bookmarkStart w:id="0" w:name="_GoBack"/>
      <w:bookmarkEnd w:id="0"/>
    </w:p>
    <w:p w14:paraId="191ACA77">
      <w:pPr>
        <w:spacing w:line="500" w:lineRule="exact"/>
        <w:rPr>
          <w:rFonts w:hint="eastAsia" w:cs="Times New Roman" w:asciiTheme="minorEastAsia" w:hAnsiTheme="minorEastAsia"/>
          <w:sz w:val="32"/>
          <w:szCs w:val="24"/>
        </w:rPr>
      </w:pPr>
      <w:r>
        <w:rPr>
          <w:rFonts w:cs="Times New Roman" w:asciiTheme="minorEastAsia" w:hAnsiTheme="minorEastAsia"/>
          <w:sz w:val="32"/>
          <w:szCs w:val="24"/>
        </w:rPr>
        <w:t>此样例仅供参考，请填报单位根据实际情况自行填写。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F4E30"/>
    <w:multiLevelType w:val="multilevel"/>
    <w:tmpl w:val="0BBF4E30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03720"/>
    <w:multiLevelType w:val="multilevel"/>
    <w:tmpl w:val="0BF03720"/>
    <w:lvl w:ilvl="0" w:tentative="0">
      <w:start w:val="1"/>
      <w:numFmt w:val="decimal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DE"/>
    <w:rsid w:val="00081D00"/>
    <w:rsid w:val="00654FDE"/>
    <w:rsid w:val="00727AFA"/>
    <w:rsid w:val="00781FA0"/>
    <w:rsid w:val="00B56982"/>
    <w:rsid w:val="00D5244B"/>
    <w:rsid w:val="2DDB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1225</Words>
  <Characters>1233</Characters>
  <Lines>9</Lines>
  <Paragraphs>2</Paragraphs>
  <TotalTime>261</TotalTime>
  <ScaleCrop>false</ScaleCrop>
  <LinksUpToDate>false</LinksUpToDate>
  <CharactersWithSpaces>1262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2022-10-08T08:21:00Z</dcterms:created>
  <dc:creator>OLD</dc:creator>
  <cp:lastModifiedBy>安佳</cp:lastModifiedBy>
  <dcterms:modified xsi:type="dcterms:W3CDTF">2025-03-11T06:07:41Z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eyJoZGlkIjoiOTdmYmIzZmEwOGZmNTI3OWU4MjUwZmE0YWNlNDY5NWUiLCJ1c2VySWQiOiIxNjgxNjg3NTM3In0=</vt:lpwstr>
  </property>
  <property fmtid="{D5CDD505-2E9C-101B-9397-08002B2CF9AE}" pid="3" name="KSOProductBuildVer">
    <vt:lpwstr>2052-12.1.0.20305</vt:lpwstr>
  </property>
  <property fmtid="{D5CDD505-2E9C-101B-9397-08002B2CF9AE}" pid="4" name="ICV">
    <vt:lpwstr>5CF814F9ED7E4B5EAE1C034DDF5ED01F_12</vt:lpwstr>
  </property>
</Properties>
</file>