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FEF05B">
      <w:pPr>
        <w:spacing w:line="500" w:lineRule="exact"/>
        <w:ind w:firstLine="480" w:firstLineChars="200"/>
        <w:jc w:val="center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生物安全与实验动物应急管理制度</w:t>
      </w:r>
    </w:p>
    <w:p w14:paraId="1AEB4CAC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制定应急管理政策和程序，包括生物性、化学性、物理性、放射性等紧急情况和火灾、水灾、冰冻、地震、人为破坏等任何意外紧急情况，还应包括使留下的空建筑物处于尽可能安全状态的措施，需要时，应征询相关主管部门的意见和建议。</w:t>
      </w:r>
    </w:p>
    <w:p w14:paraId="29530AE4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应以国家法律法规、国家和地方的应急预案和要求为基础制定机构的应急措施，同时考虑机构的特点和资源，应急措施中应包括紧急撤离计划。机构的首要责任是保护人员安全和避免波及公共安全。</w:t>
      </w:r>
    </w:p>
    <w:p w14:paraId="165B5C7F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应建立程序和方法，以识别和监测潜在的事件或紧急情况，并作出响应，以预防和减少可能随之引发的疾病、伤害、损失、业务中断等。</w:t>
      </w:r>
    </w:p>
    <w:p w14:paraId="08CB3466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适用时，应急程序应至少包括负责人、组织、应急准备和响应、应急通讯、报告内容，个体防护和应对程序、应急设备和工具包、污染源隔离和消毒灭菌、人员隔离和救治、现场隔离和控制、动物福利和健康、撤离计划和路线、风险沟通等内容。</w:t>
      </w:r>
    </w:p>
    <w:p w14:paraId="0BD03507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应使所有人员（包括来访者）熟悉应急行动计划、撤离路线和紧急撤离的集合地点。</w:t>
      </w:r>
    </w:p>
    <w:p w14:paraId="46F887A6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定期演练和评估涉及各种风险的应急程序和应急预案，并制定年度计划。每年应组织进行专项演练，如电力系统故障、危险物质泄漏等应急处置演练，并至少组织所有员工进行一次撤离演习。</w:t>
      </w:r>
    </w:p>
    <w:p w14:paraId="3E51DB50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应有消防相关的政策和程序，并使所有人员理解，以保证人员安全和动物安全。</w:t>
      </w:r>
    </w:p>
    <w:p w14:paraId="1A8A9480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应制定年度消防计划，内容至少包括（不限于）:</w:t>
      </w:r>
    </w:p>
    <w:p w14:paraId="4430D0CF">
      <w:pPr>
        <w:pStyle w:val="4"/>
        <w:numPr>
          <w:ilvl w:val="0"/>
          <w:numId w:val="2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对员工的消防指导和培训，内容至少包括火险的识别和判断、减少火险的良好操作规程、失火时应采取的全部行动；</w:t>
      </w:r>
    </w:p>
    <w:p w14:paraId="324D1BDA">
      <w:pPr>
        <w:pStyle w:val="4"/>
        <w:numPr>
          <w:ilvl w:val="0"/>
          <w:numId w:val="2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消防设施设备和报警系统状态的检查；</w:t>
      </w:r>
    </w:p>
    <w:p w14:paraId="718FF38E">
      <w:pPr>
        <w:pStyle w:val="4"/>
        <w:numPr>
          <w:ilvl w:val="0"/>
          <w:numId w:val="2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消防安全定期检查计划；</w:t>
      </w:r>
    </w:p>
    <w:p w14:paraId="14D6C542">
      <w:pPr>
        <w:pStyle w:val="4"/>
        <w:numPr>
          <w:ilvl w:val="0"/>
          <w:numId w:val="2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消防演习（每年至少一次）。</w:t>
      </w:r>
    </w:p>
    <w:p w14:paraId="14A23D23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只要适用，应配备控制可燃物少量泄漏的工具包。如果发生明显泄漏，应立即寻求消防部门的援助。</w:t>
      </w:r>
    </w:p>
    <w:p w14:paraId="20E8B4C8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应配备适当的设备，需要时用于扑灭可控制的火情及帮助人员从火场撤离。</w:t>
      </w:r>
    </w:p>
    <w:p w14:paraId="34D183BC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应依据可能失火的类型配置适当的灭火器材并定期维护，应符合消防主管部门的要求。</w:t>
      </w:r>
    </w:p>
    <w:p w14:paraId="00559C5E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如果发生火警，应立即寻求消防部门的援助，并告知机构内存在的危险。</w:t>
      </w:r>
    </w:p>
    <w:p w14:paraId="1ACADC25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机构应及时处理可控的事故，避免事态扩大；对于机构不能控制的事故，应求助并执行紧急撤离计划，此时的一些防护和控制措施，均应以保护人员安全撤离为目的，而非以救灾为目的。</w:t>
      </w:r>
    </w:p>
    <w:p w14:paraId="33C1C3B0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应有报告紧急事件、伤害、事故、职业相关疾病以及潜在危险的政策和程序，符合国家和地方对事故报告的规定要求，任何人员不得隐瞒。</w:t>
      </w:r>
    </w:p>
    <w:p w14:paraId="668C8F1F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所有紧急事件、事故报告应形成书面文件并存档（包括所有相关活动的记录和证据等文件）。适用时，报告应包括事实的详细描述、原因分析、影响范围、后果评估、采取的措施、所采取措施有效性的追踪、预防类似事件发生的建议及改进措施等。</w:t>
      </w:r>
    </w:p>
    <w:p w14:paraId="57A5E090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事故报告（包括采取的任何措施）应提交机构管理层、安全委员会和 IACUC 评审，适用时，还应提交更高管理层评审。</w:t>
      </w:r>
    </w:p>
    <w:p w14:paraId="5E878CF2">
      <w:pPr>
        <w:pStyle w:val="4"/>
        <w:numPr>
          <w:ilvl w:val="0"/>
          <w:numId w:val="1"/>
        </w:numPr>
        <w:spacing w:line="500" w:lineRule="exact"/>
        <w:ind w:left="0" w:firstLine="480"/>
        <w:rPr>
          <w:rFonts w:cs="Times New Roman" w:asciiTheme="minorEastAsia" w:hAnsiTheme="minorEastAsia"/>
          <w:sz w:val="24"/>
          <w:szCs w:val="24"/>
        </w:rPr>
      </w:pPr>
      <w:r>
        <w:rPr>
          <w:rFonts w:cs="Times New Roman" w:asciiTheme="minorEastAsia" w:hAnsiTheme="minorEastAsia"/>
          <w:sz w:val="24"/>
          <w:szCs w:val="24"/>
        </w:rPr>
        <w:t>在发生事件或紧急情况后，应进行后评估。</w:t>
      </w:r>
    </w:p>
    <w:p w14:paraId="713B87BC">
      <w:pPr>
        <w:spacing w:line="500" w:lineRule="exact"/>
        <w:rPr>
          <w:rFonts w:cs="Times New Roman" w:asciiTheme="minorEastAsia" w:hAnsiTheme="minorEastAsia"/>
          <w:sz w:val="24"/>
          <w:szCs w:val="24"/>
        </w:rPr>
      </w:pPr>
    </w:p>
    <w:p w14:paraId="35A2E153">
      <w:pPr>
        <w:spacing w:line="500" w:lineRule="exact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签署：</w:t>
      </w:r>
    </w:p>
    <w:p w14:paraId="09C0C8CB">
      <w:pPr>
        <w:spacing w:line="500" w:lineRule="exact"/>
        <w:ind w:firstLine="720" w:firstLineChars="3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制定者：         日期：</w:t>
      </w:r>
    </w:p>
    <w:p w14:paraId="0DBBCA7A">
      <w:pPr>
        <w:spacing w:line="500" w:lineRule="exact"/>
        <w:ind w:firstLine="720" w:firstLineChars="3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审定者：         日期：</w:t>
      </w:r>
    </w:p>
    <w:p w14:paraId="577B2485">
      <w:pPr>
        <w:spacing w:line="500" w:lineRule="exact"/>
        <w:ind w:firstLine="720" w:firstLineChars="300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批准者：         日期：</w:t>
      </w:r>
    </w:p>
    <w:p w14:paraId="0FC04CB0">
      <w:pPr>
        <w:spacing w:line="500" w:lineRule="exact"/>
        <w:rPr>
          <w:rFonts w:cs="Times New Roman" w:asciiTheme="minorEastAsia" w:hAnsiTheme="minorEastAsia"/>
          <w:sz w:val="24"/>
          <w:szCs w:val="24"/>
        </w:rPr>
      </w:pPr>
      <w:bookmarkStart w:id="0" w:name="_GoBack"/>
      <w:bookmarkEnd w:id="0"/>
    </w:p>
    <w:p w14:paraId="333E07DE">
      <w:pPr>
        <w:spacing w:line="500" w:lineRule="exact"/>
        <w:rPr>
          <w:rFonts w:hint="eastAsia" w:cs="Times New Roman" w:asciiTheme="minorEastAsia" w:hAnsiTheme="minorEastAsia"/>
          <w:sz w:val="32"/>
          <w:szCs w:val="24"/>
        </w:rPr>
      </w:pPr>
      <w:r>
        <w:rPr>
          <w:rFonts w:cs="Times New Roman" w:asciiTheme="minorEastAsia" w:hAnsiTheme="minorEastAsia"/>
          <w:sz w:val="32"/>
          <w:szCs w:val="24"/>
        </w:rPr>
        <w:t>此样例仅供参考，请填报单位根据实际情况自行填写。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BBF4E30"/>
    <w:multiLevelType w:val="multilevel"/>
    <w:tmpl w:val="0BBF4E30"/>
    <w:lvl w:ilvl="0" w:tentative="0">
      <w:start w:val="1"/>
      <w:numFmt w:val="decimal"/>
      <w:lvlText w:val="%1)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BF03720"/>
    <w:multiLevelType w:val="multilevel"/>
    <w:tmpl w:val="0BF03720"/>
    <w:lvl w:ilvl="0" w:tentative="0">
      <w:start w:val="1"/>
      <w:numFmt w:val="decimal"/>
      <w:lvlText w:val="%1."/>
      <w:lvlJc w:val="left"/>
      <w:pPr>
        <w:ind w:left="704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4FDE"/>
    <w:rsid w:val="00081D00"/>
    <w:rsid w:val="00654FDE"/>
    <w:rsid w:val="00727AFA"/>
    <w:rsid w:val="00781FA0"/>
    <w:rsid w:val="00B56982"/>
    <w:rsid w:val="00D5244B"/>
    <w:rsid w:val="46234B07"/>
    <w:rsid w:val="6E1D2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1225</Words>
  <Characters>1233</Characters>
  <Lines>9</Lines>
  <Paragraphs>2</Paragraphs>
  <TotalTime>100</TotalTime>
  <ScaleCrop>false</ScaleCrop>
  <LinksUpToDate>false</LinksUpToDate>
  <CharactersWithSpaces>1262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2022-10-08T08:21:00Z</dcterms:created>
  <dc:creator>OLD</dc:creator>
  <cp:lastModifiedBy>安佳</cp:lastModifiedBy>
  <dcterms:modified xsi:type="dcterms:W3CDTF">2025-03-11T06:52:38Z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eyJoZGlkIjoiOTdmYmIzZmEwOGZmNTI3OWU4MjUwZmE0YWNlNDY5NWUiLCJ1c2VySWQiOiIxNjgxNjg3NTM3In0=</vt:lpwstr>
  </property>
  <property fmtid="{D5CDD505-2E9C-101B-9397-08002B2CF9AE}" pid="3" name="KSOProductBuildVer">
    <vt:lpwstr>2052-12.1.0.20305</vt:lpwstr>
  </property>
  <property fmtid="{D5CDD505-2E9C-101B-9397-08002B2CF9AE}" pid="4" name="ICV">
    <vt:lpwstr>F04EFD82B0DE4A66B284DE3969B4BD28_12</vt:lpwstr>
  </property>
</Properties>
</file>