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GB/T 29639-2020</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附录</w:t>
      </w:r>
      <w:r>
        <w:rPr>
          <w:rFonts w:hint="eastAsia" w:ascii="黑体" w:hAnsi="黑体" w:eastAsia="黑体" w:cs="黑体"/>
          <w:sz w:val="32"/>
          <w:szCs w:val="32"/>
          <w:lang w:val="en-US" w:eastAsia="zh-CN"/>
        </w:rPr>
        <w:t>B</w:t>
      </w:r>
    </w:p>
    <w:p>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（资料性附录）</w:t>
      </w:r>
    </w:p>
    <w:p>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仿宋_GB2312" w:hAnsi="仿宋_GB2312" w:eastAsia="仿宋_GB2312" w:cs="仿宋_GB2312"/>
          <w:sz w:val="32"/>
          <w:szCs w:val="32"/>
          <w:lang w:eastAsia="zh-CN"/>
        </w:rPr>
      </w:pPr>
      <w:r>
        <w:rPr>
          <w:rFonts w:hint="eastAsia" w:ascii="黑体" w:hAnsi="黑体" w:eastAsia="黑体" w:cs="黑体"/>
          <w:sz w:val="32"/>
          <w:szCs w:val="32"/>
          <w:lang w:eastAsia="zh-CN"/>
        </w:rPr>
        <w:t>生产安全事故应急资源调查报告编制大纲</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B.1 单位内部应急资源</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按照应急资源的分类，分别描述相关应急资源的基本现状、功能完善程度、受可能发生的事故的影响程度（可用列表形式表述）。</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B.2 单位外部应急资源</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描述本单位能够调查或掌握可用于参与事故处置的外部应急资源情况（可用列表形式表述）。</w:t>
      </w: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60" w:lineRule="exact"/>
        <w:textAlignment w:val="auto"/>
        <w:rPr>
          <w:rFonts w:hint="eastAsia" w:ascii="黑体" w:hAnsi="黑体" w:eastAsia="黑体" w:cs="黑体"/>
          <w:sz w:val="32"/>
          <w:szCs w:val="32"/>
          <w:lang w:val="en-US" w:eastAsia="zh-CN"/>
        </w:rPr>
      </w:pPr>
      <w:bookmarkStart w:id="0" w:name="_GoBack"/>
      <w:bookmarkEnd w:id="0"/>
      <w:r>
        <w:rPr>
          <w:rFonts w:hint="eastAsia" w:ascii="黑体" w:hAnsi="黑体" w:eastAsia="黑体" w:cs="黑体"/>
          <w:sz w:val="32"/>
          <w:szCs w:val="32"/>
          <w:lang w:val="en-US" w:eastAsia="zh-CN"/>
        </w:rPr>
        <w:t>B.3 应急资源差距分析</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依据风险评估结果得出本单位的应急资源需求，与本单位现有内外部应急资源对比，提出本单位内外部应急资源补充建议。</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7140D5"/>
    <w:rsid w:val="686326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2022-02-23T01:54:00Z</dcterms:created>
  <dc:creator>8088</dc:creator>
  <cp:lastModifiedBy>任俊妍</cp:lastModifiedBy>
  <dcterms:modified xsi:type="dcterms:W3CDTF">2022-02-23T02:10:01Z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ies>
</file>